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64" w:rsidRPr="009B6FD1" w:rsidRDefault="00944B04">
      <w:pPr>
        <w:pStyle w:val="Heading3"/>
        <w:ind w:hanging="360"/>
        <w:rPr>
          <w:rFonts w:ascii="Arial" w:hAnsi="Arial" w:cs="Arial"/>
          <w:sz w:val="22"/>
          <w:szCs w:val="20"/>
        </w:rPr>
      </w:pPr>
      <w:r w:rsidRPr="009B6FD1">
        <w:rPr>
          <w:rFonts w:ascii="Arial" w:hAnsi="Arial" w:cs="Arial"/>
          <w:sz w:val="22"/>
          <w:szCs w:val="20"/>
        </w:rPr>
        <w:t>1.</w:t>
      </w:r>
      <w:r w:rsidRPr="009B6FD1">
        <w:rPr>
          <w:rFonts w:ascii="Arial" w:hAnsi="Arial" w:cs="Arial"/>
          <w:sz w:val="22"/>
          <w:szCs w:val="20"/>
        </w:rPr>
        <w:tab/>
      </w:r>
      <w:r w:rsidR="009517B8" w:rsidRPr="009B6FD1">
        <w:rPr>
          <w:rFonts w:ascii="Arial" w:hAnsi="Arial" w:cs="Arial"/>
          <w:sz w:val="22"/>
          <w:szCs w:val="20"/>
        </w:rPr>
        <w:t>Tuition (formerly called Registration and Educational Fees)</w:t>
      </w:r>
      <w:r w:rsidRPr="009B6FD1">
        <w:rPr>
          <w:rFonts w:ascii="Arial" w:hAnsi="Arial" w:cs="Arial"/>
          <w:sz w:val="22"/>
          <w:szCs w:val="20"/>
        </w:rPr>
        <w:t xml:space="preserve"> </w:t>
      </w:r>
      <w:r w:rsidR="00515121" w:rsidRPr="009B6FD1">
        <w:rPr>
          <w:rFonts w:ascii="Arial" w:hAnsi="Arial" w:cs="Arial"/>
          <w:sz w:val="22"/>
          <w:szCs w:val="20"/>
        </w:rPr>
        <w:t>(</w:t>
      </w:r>
      <w:r w:rsidR="00E31C4A">
        <w:rPr>
          <w:rFonts w:ascii="Arial" w:hAnsi="Arial" w:cs="Arial"/>
          <w:sz w:val="22"/>
          <w:szCs w:val="20"/>
        </w:rPr>
        <w:t>20</w:t>
      </w:r>
      <w:r w:rsidR="004476F9">
        <w:rPr>
          <w:rFonts w:ascii="Arial" w:hAnsi="Arial" w:cs="Arial"/>
          <w:sz w:val="22"/>
          <w:szCs w:val="20"/>
        </w:rPr>
        <w:t>19</w:t>
      </w:r>
      <w:r w:rsidR="00E31C4A">
        <w:rPr>
          <w:rFonts w:ascii="Arial" w:hAnsi="Arial" w:cs="Arial"/>
          <w:sz w:val="22"/>
          <w:szCs w:val="20"/>
        </w:rPr>
        <w:t>-20</w:t>
      </w:r>
      <w:r w:rsidR="00515121" w:rsidRPr="009B6FD1">
        <w:rPr>
          <w:rFonts w:ascii="Arial" w:hAnsi="Arial" w:cs="Arial"/>
          <w:sz w:val="22"/>
          <w:szCs w:val="20"/>
        </w:rPr>
        <w:t>)</w:t>
      </w:r>
    </w:p>
    <w:p w:rsidR="00396AF3" w:rsidRPr="00190451" w:rsidRDefault="00CB2932" w:rsidP="00396AF3">
      <w:pPr>
        <w:tabs>
          <w:tab w:val="left" w:pos="2880"/>
        </w:tabs>
        <w:ind w:left="360" w:hanging="360"/>
        <w:rPr>
          <w:rFonts w:ascii="Arial" w:hAnsi="Arial" w:cs="Arial"/>
          <w:i/>
          <w:sz w:val="18"/>
          <w:szCs w:val="18"/>
        </w:rPr>
      </w:pPr>
      <w:r w:rsidRPr="009203E1">
        <w:rPr>
          <w:rFonts w:ascii="Arial" w:hAnsi="Arial" w:cs="Arial"/>
          <w:sz w:val="22"/>
          <w:szCs w:val="22"/>
        </w:rPr>
        <w:tab/>
      </w:r>
      <w:r w:rsidR="00A64C97">
        <w:rPr>
          <w:rFonts w:ascii="Arial" w:hAnsi="Arial" w:cs="Arial"/>
          <w:i/>
          <w:sz w:val="18"/>
          <w:szCs w:val="18"/>
        </w:rPr>
        <w:t>--</w:t>
      </w:r>
      <w:r w:rsidR="000D3733">
        <w:rPr>
          <w:rFonts w:ascii="Arial" w:hAnsi="Arial" w:cs="Arial"/>
          <w:i/>
          <w:sz w:val="18"/>
          <w:szCs w:val="18"/>
        </w:rPr>
        <w:t>Tuition is</w:t>
      </w:r>
      <w:r w:rsidR="00190451">
        <w:rPr>
          <w:rFonts w:ascii="Arial" w:hAnsi="Arial" w:cs="Arial"/>
          <w:i/>
          <w:sz w:val="18"/>
          <w:szCs w:val="18"/>
        </w:rPr>
        <w:t xml:space="preserve"> </w:t>
      </w:r>
      <w:r w:rsidR="009517B8">
        <w:rPr>
          <w:rFonts w:ascii="Arial" w:hAnsi="Arial" w:cs="Arial"/>
          <w:i/>
          <w:sz w:val="18"/>
          <w:szCs w:val="18"/>
        </w:rPr>
        <w:t xml:space="preserve">subject to </w:t>
      </w:r>
      <w:r w:rsidR="000D3733">
        <w:rPr>
          <w:rFonts w:ascii="Arial" w:hAnsi="Arial" w:cs="Arial"/>
          <w:i/>
          <w:sz w:val="18"/>
          <w:szCs w:val="18"/>
        </w:rPr>
        <w:t>an increase</w:t>
      </w:r>
      <w:r w:rsidR="009517B8">
        <w:rPr>
          <w:rFonts w:ascii="Arial" w:hAnsi="Arial" w:cs="Arial"/>
          <w:i/>
          <w:sz w:val="18"/>
          <w:szCs w:val="18"/>
        </w:rPr>
        <w:t xml:space="preserve"> and you will be responsible for paying the final (actual) fees when determined</w:t>
      </w:r>
      <w:r w:rsidR="005672A9">
        <w:rPr>
          <w:rFonts w:ascii="Arial" w:hAnsi="Arial" w:cs="Arial"/>
          <w:i/>
          <w:sz w:val="18"/>
          <w:szCs w:val="18"/>
        </w:rPr>
        <w:t>.</w:t>
      </w:r>
    </w:p>
    <w:p w:rsidR="00032764" w:rsidRPr="0084112E" w:rsidRDefault="00396AF3" w:rsidP="00F5771C">
      <w:pPr>
        <w:tabs>
          <w:tab w:val="left" w:pos="2880"/>
        </w:tabs>
        <w:ind w:left="360" w:hanging="360"/>
        <w:rPr>
          <w:rFonts w:ascii="Arial" w:hAnsi="Arial" w:cs="Arial"/>
          <w:sz w:val="18"/>
          <w:szCs w:val="18"/>
        </w:rPr>
      </w:pPr>
      <w:r w:rsidRPr="008B3B81">
        <w:rPr>
          <w:rFonts w:ascii="Arial" w:hAnsi="Arial" w:cs="Arial"/>
          <w:sz w:val="20"/>
          <w:szCs w:val="20"/>
        </w:rPr>
        <w:tab/>
      </w:r>
      <w:r w:rsidR="00CB2932" w:rsidRPr="0084112E">
        <w:rPr>
          <w:rFonts w:ascii="Arial" w:hAnsi="Arial" w:cs="Arial"/>
          <w:sz w:val="18"/>
          <w:szCs w:val="18"/>
        </w:rPr>
        <w:t xml:space="preserve">CA Resident </w:t>
      </w:r>
      <w:r w:rsidR="00513103" w:rsidRPr="0084112E">
        <w:rPr>
          <w:rFonts w:ascii="Arial" w:hAnsi="Arial" w:cs="Arial"/>
          <w:sz w:val="18"/>
          <w:szCs w:val="18"/>
        </w:rPr>
        <w:t>and</w:t>
      </w:r>
      <w:r w:rsidR="007F61B4" w:rsidRPr="0084112E">
        <w:rPr>
          <w:rFonts w:ascii="Arial" w:hAnsi="Arial" w:cs="Arial"/>
          <w:sz w:val="18"/>
          <w:szCs w:val="18"/>
        </w:rPr>
        <w:t xml:space="preserve"> Non-Resident </w:t>
      </w:r>
      <w:r w:rsidR="00CB2932" w:rsidRPr="0084112E">
        <w:rPr>
          <w:rFonts w:ascii="Arial" w:hAnsi="Arial" w:cs="Arial"/>
          <w:sz w:val="18"/>
          <w:szCs w:val="18"/>
        </w:rPr>
        <w:t>(No GSR appointment)</w:t>
      </w:r>
      <w:r w:rsidR="00E36E5E" w:rsidRPr="0084112E">
        <w:rPr>
          <w:rFonts w:ascii="Arial" w:hAnsi="Arial" w:cs="Arial"/>
          <w:sz w:val="18"/>
          <w:szCs w:val="18"/>
        </w:rPr>
        <w:t>*estimated</w:t>
      </w:r>
      <w:r w:rsidR="00E36E5E" w:rsidRPr="0084112E">
        <w:rPr>
          <w:rFonts w:ascii="Arial" w:hAnsi="Arial" w:cs="Arial"/>
          <w:sz w:val="18"/>
          <w:szCs w:val="18"/>
        </w:rPr>
        <w:tab/>
      </w:r>
      <w:r w:rsidR="007F61B4" w:rsidRPr="0084112E">
        <w:rPr>
          <w:rFonts w:ascii="Arial" w:hAnsi="Arial" w:cs="Arial"/>
          <w:sz w:val="18"/>
          <w:szCs w:val="18"/>
        </w:rPr>
        <w:tab/>
      </w:r>
      <w:r w:rsidR="0084112E">
        <w:rPr>
          <w:rFonts w:ascii="Arial" w:hAnsi="Arial" w:cs="Arial"/>
          <w:sz w:val="18"/>
          <w:szCs w:val="18"/>
        </w:rPr>
        <w:tab/>
      </w:r>
      <w:r w:rsidR="00CB2932" w:rsidRPr="0084112E">
        <w:rPr>
          <w:rFonts w:ascii="Arial" w:hAnsi="Arial" w:cs="Arial"/>
          <w:sz w:val="18"/>
          <w:szCs w:val="18"/>
        </w:rPr>
        <w:t>$</w:t>
      </w:r>
      <w:r w:rsidR="00E31C4A">
        <w:rPr>
          <w:rFonts w:ascii="Arial" w:hAnsi="Arial" w:cs="Arial"/>
          <w:sz w:val="18"/>
          <w:szCs w:val="18"/>
        </w:rPr>
        <w:t xml:space="preserve">6,180.70 </w:t>
      </w:r>
      <w:r w:rsidR="00F5771C" w:rsidRPr="0084112E">
        <w:rPr>
          <w:rFonts w:ascii="Arial" w:hAnsi="Arial" w:cs="Arial"/>
          <w:sz w:val="18"/>
          <w:szCs w:val="18"/>
        </w:rPr>
        <w:t xml:space="preserve">quarter </w:t>
      </w:r>
      <w:r w:rsidR="005672A9" w:rsidRPr="0084112E">
        <w:rPr>
          <w:rFonts w:ascii="Arial" w:hAnsi="Arial" w:cs="Arial"/>
          <w:sz w:val="18"/>
          <w:szCs w:val="18"/>
        </w:rPr>
        <w:t>/ $</w:t>
      </w:r>
      <w:r w:rsidR="00E31C4A">
        <w:rPr>
          <w:rFonts w:ascii="Arial" w:hAnsi="Arial" w:cs="Arial"/>
          <w:sz w:val="18"/>
          <w:szCs w:val="18"/>
        </w:rPr>
        <w:t xml:space="preserve">18,542.08 </w:t>
      </w:r>
      <w:r w:rsidR="005672A9" w:rsidRPr="0084112E">
        <w:rPr>
          <w:rFonts w:ascii="Arial" w:hAnsi="Arial" w:cs="Arial"/>
          <w:sz w:val="18"/>
          <w:szCs w:val="18"/>
        </w:rPr>
        <w:t>year</w:t>
      </w:r>
    </w:p>
    <w:p w:rsidR="006C0E09" w:rsidRPr="009C1897" w:rsidRDefault="00596A72" w:rsidP="00515121">
      <w:pPr>
        <w:tabs>
          <w:tab w:val="left" w:pos="2880"/>
        </w:tabs>
        <w:ind w:left="360" w:hanging="360"/>
        <w:rPr>
          <w:rFonts w:ascii="Arial" w:hAnsi="Arial" w:cs="Arial"/>
          <w:sz w:val="20"/>
          <w:szCs w:val="20"/>
        </w:rPr>
      </w:pPr>
      <w:r w:rsidRPr="0084112E">
        <w:rPr>
          <w:rFonts w:ascii="Arial" w:hAnsi="Arial" w:cs="Arial"/>
          <w:sz w:val="18"/>
          <w:szCs w:val="18"/>
        </w:rPr>
        <w:tab/>
      </w:r>
      <w:r w:rsidR="000A21C5" w:rsidRPr="0084112E">
        <w:rPr>
          <w:rFonts w:ascii="Arial" w:hAnsi="Arial" w:cs="Arial"/>
          <w:sz w:val="18"/>
          <w:szCs w:val="18"/>
        </w:rPr>
        <w:t>CA Resident</w:t>
      </w:r>
      <w:r w:rsidR="007F61B4" w:rsidRPr="0084112E">
        <w:rPr>
          <w:rFonts w:ascii="Arial" w:hAnsi="Arial" w:cs="Arial"/>
          <w:sz w:val="18"/>
          <w:szCs w:val="18"/>
        </w:rPr>
        <w:t xml:space="preserve"> and Non-Resident</w:t>
      </w:r>
      <w:r w:rsidR="000A21C5" w:rsidRPr="0084112E">
        <w:rPr>
          <w:rFonts w:ascii="Arial" w:hAnsi="Arial" w:cs="Arial"/>
          <w:sz w:val="18"/>
          <w:szCs w:val="18"/>
        </w:rPr>
        <w:t xml:space="preserve"> </w:t>
      </w:r>
      <w:r w:rsidR="000A21C5" w:rsidRPr="0084112E">
        <w:rPr>
          <w:rFonts w:ascii="Arial" w:hAnsi="Arial" w:cs="Arial"/>
          <w:sz w:val="16"/>
          <w:szCs w:val="16"/>
        </w:rPr>
        <w:t xml:space="preserve">(with GSR </w:t>
      </w:r>
      <w:r w:rsidR="00CB2932" w:rsidRPr="0084112E">
        <w:rPr>
          <w:rFonts w:ascii="Arial" w:hAnsi="Arial" w:cs="Arial"/>
          <w:sz w:val="16"/>
          <w:szCs w:val="16"/>
        </w:rPr>
        <w:t>appointment</w:t>
      </w:r>
      <w:r w:rsidR="00BC3952" w:rsidRPr="0084112E">
        <w:rPr>
          <w:rFonts w:ascii="Arial" w:hAnsi="Arial" w:cs="Arial"/>
          <w:sz w:val="16"/>
          <w:szCs w:val="16"/>
        </w:rPr>
        <w:t xml:space="preserve"> </w:t>
      </w:r>
      <w:r w:rsidR="000A21C5" w:rsidRPr="0084112E">
        <w:rPr>
          <w:rFonts w:ascii="Arial" w:hAnsi="Arial" w:cs="Arial"/>
          <w:sz w:val="16"/>
          <w:szCs w:val="16"/>
          <w:u w:val="single"/>
        </w:rPr>
        <w:t>&gt;</w:t>
      </w:r>
      <w:r w:rsidR="000A21C5" w:rsidRPr="0084112E">
        <w:rPr>
          <w:rFonts w:ascii="Arial" w:hAnsi="Arial" w:cs="Arial"/>
          <w:sz w:val="16"/>
          <w:szCs w:val="16"/>
        </w:rPr>
        <w:t xml:space="preserve"> 25%</w:t>
      </w:r>
      <w:r w:rsidR="00E90B6C" w:rsidRPr="0084112E">
        <w:rPr>
          <w:rFonts w:ascii="Arial" w:hAnsi="Arial" w:cs="Arial"/>
          <w:sz w:val="16"/>
          <w:szCs w:val="16"/>
        </w:rPr>
        <w:t xml:space="preserve"> on extramural sources</w:t>
      </w:r>
      <w:r w:rsidR="00CB2932" w:rsidRPr="0084112E">
        <w:rPr>
          <w:rFonts w:ascii="Arial" w:hAnsi="Arial" w:cs="Arial"/>
          <w:sz w:val="16"/>
          <w:szCs w:val="16"/>
        </w:rPr>
        <w:t>)</w:t>
      </w:r>
      <w:r w:rsidR="007F61B4" w:rsidRPr="0084112E">
        <w:rPr>
          <w:rFonts w:ascii="Arial" w:hAnsi="Arial" w:cs="Arial"/>
          <w:sz w:val="18"/>
          <w:szCs w:val="18"/>
        </w:rPr>
        <w:tab/>
      </w:r>
      <w:r w:rsidR="00CB2932" w:rsidRPr="0084112E">
        <w:rPr>
          <w:rFonts w:ascii="Arial" w:hAnsi="Arial" w:cs="Arial"/>
          <w:sz w:val="18"/>
          <w:szCs w:val="18"/>
        </w:rPr>
        <w:t>$</w:t>
      </w:r>
      <w:r w:rsidR="008B3B81" w:rsidRPr="0084112E">
        <w:rPr>
          <w:rFonts w:ascii="Arial" w:hAnsi="Arial" w:cs="Arial"/>
          <w:sz w:val="18"/>
          <w:szCs w:val="18"/>
        </w:rPr>
        <w:t>4</w:t>
      </w:r>
      <w:r w:rsidR="00E01C09" w:rsidRPr="0084112E">
        <w:rPr>
          <w:rFonts w:ascii="Arial" w:hAnsi="Arial" w:cs="Arial"/>
          <w:sz w:val="18"/>
          <w:szCs w:val="18"/>
        </w:rPr>
        <w:t>,</w:t>
      </w:r>
      <w:r w:rsidR="00E31C4A">
        <w:rPr>
          <w:rFonts w:ascii="Arial" w:hAnsi="Arial" w:cs="Arial"/>
          <w:sz w:val="18"/>
          <w:szCs w:val="18"/>
        </w:rPr>
        <w:t>635.53</w:t>
      </w:r>
      <w:r w:rsidR="00594D71" w:rsidRPr="0084112E">
        <w:rPr>
          <w:rFonts w:ascii="Arial" w:hAnsi="Arial" w:cs="Arial"/>
          <w:sz w:val="18"/>
          <w:szCs w:val="18"/>
        </w:rPr>
        <w:t xml:space="preserve"> </w:t>
      </w:r>
      <w:r w:rsidR="00513103" w:rsidRPr="0084112E">
        <w:rPr>
          <w:rFonts w:ascii="Arial" w:hAnsi="Arial" w:cs="Arial"/>
          <w:sz w:val="18"/>
          <w:szCs w:val="18"/>
        </w:rPr>
        <w:t>quarter / $</w:t>
      </w:r>
      <w:r w:rsidR="0090151C" w:rsidRPr="0084112E">
        <w:rPr>
          <w:rFonts w:ascii="Arial" w:hAnsi="Arial" w:cs="Arial"/>
          <w:sz w:val="18"/>
          <w:szCs w:val="18"/>
        </w:rPr>
        <w:t>13,</w:t>
      </w:r>
      <w:r w:rsidR="00E31C4A">
        <w:rPr>
          <w:rFonts w:ascii="Arial" w:hAnsi="Arial" w:cs="Arial"/>
          <w:sz w:val="18"/>
          <w:szCs w:val="18"/>
        </w:rPr>
        <w:t>906.58</w:t>
      </w:r>
      <w:r w:rsidR="00513103" w:rsidRPr="0084112E">
        <w:rPr>
          <w:rFonts w:ascii="Arial" w:hAnsi="Arial" w:cs="Arial"/>
          <w:sz w:val="18"/>
          <w:szCs w:val="18"/>
        </w:rPr>
        <w:t xml:space="preserve"> </w:t>
      </w:r>
      <w:r w:rsidR="0060343D" w:rsidRPr="0084112E">
        <w:rPr>
          <w:rFonts w:ascii="Arial" w:hAnsi="Arial" w:cs="Arial"/>
          <w:sz w:val="18"/>
          <w:szCs w:val="18"/>
        </w:rPr>
        <w:t>year</w:t>
      </w:r>
      <w:r w:rsidRPr="009C1897">
        <w:rPr>
          <w:rFonts w:ascii="Arial" w:hAnsi="Arial" w:cs="Arial"/>
          <w:sz w:val="20"/>
          <w:szCs w:val="20"/>
        </w:rPr>
        <w:tab/>
      </w:r>
    </w:p>
    <w:p w:rsidR="00515121" w:rsidRDefault="00515121" w:rsidP="00515121">
      <w:pPr>
        <w:tabs>
          <w:tab w:val="left" w:pos="2880"/>
        </w:tabs>
        <w:ind w:left="360" w:hanging="360"/>
        <w:rPr>
          <w:rFonts w:ascii="Arial" w:hAnsi="Arial" w:cs="Arial"/>
          <w:b/>
          <w:sz w:val="20"/>
          <w:szCs w:val="20"/>
        </w:rPr>
      </w:pPr>
    </w:p>
    <w:p w:rsidR="00032764" w:rsidRPr="009B6FD1" w:rsidRDefault="00944B04" w:rsidP="00515121">
      <w:pPr>
        <w:tabs>
          <w:tab w:val="left" w:pos="2880"/>
        </w:tabs>
        <w:ind w:left="360" w:hanging="360"/>
        <w:rPr>
          <w:rFonts w:ascii="Arial" w:hAnsi="Arial" w:cs="Arial"/>
          <w:b/>
          <w:sz w:val="22"/>
          <w:szCs w:val="20"/>
        </w:rPr>
      </w:pPr>
      <w:r w:rsidRPr="009B6FD1">
        <w:rPr>
          <w:rFonts w:ascii="Arial" w:hAnsi="Arial" w:cs="Arial"/>
          <w:b/>
          <w:sz w:val="22"/>
          <w:szCs w:val="20"/>
        </w:rPr>
        <w:t>2.</w:t>
      </w:r>
      <w:r w:rsidRPr="009B6FD1">
        <w:rPr>
          <w:rFonts w:ascii="Arial" w:hAnsi="Arial" w:cs="Arial"/>
          <w:b/>
          <w:sz w:val="22"/>
          <w:szCs w:val="20"/>
        </w:rPr>
        <w:tab/>
        <w:t>Non-Resident</w:t>
      </w:r>
      <w:r w:rsidR="009517B8" w:rsidRPr="009B6FD1">
        <w:rPr>
          <w:rFonts w:ascii="Arial" w:hAnsi="Arial" w:cs="Arial"/>
          <w:b/>
          <w:sz w:val="22"/>
          <w:szCs w:val="20"/>
        </w:rPr>
        <w:t xml:space="preserve"> Supplemental</w:t>
      </w:r>
      <w:r w:rsidRPr="009B6FD1">
        <w:rPr>
          <w:rFonts w:ascii="Arial" w:hAnsi="Arial" w:cs="Arial"/>
          <w:b/>
          <w:sz w:val="22"/>
          <w:szCs w:val="20"/>
        </w:rPr>
        <w:t xml:space="preserve"> Tuition </w:t>
      </w:r>
    </w:p>
    <w:p w:rsidR="008B2417" w:rsidRPr="0084112E" w:rsidRDefault="00C148A6" w:rsidP="00513103">
      <w:pPr>
        <w:tabs>
          <w:tab w:val="left" w:pos="2880"/>
        </w:tabs>
        <w:ind w:left="360" w:hanging="360"/>
        <w:rPr>
          <w:rFonts w:ascii="Arial" w:hAnsi="Arial" w:cs="Arial"/>
          <w:sz w:val="18"/>
          <w:szCs w:val="18"/>
        </w:rPr>
      </w:pPr>
      <w:r w:rsidRPr="009C1897">
        <w:rPr>
          <w:rFonts w:ascii="Arial" w:hAnsi="Arial" w:cs="Arial"/>
          <w:b/>
          <w:sz w:val="20"/>
          <w:szCs w:val="20"/>
        </w:rPr>
        <w:tab/>
      </w:r>
      <w:r w:rsidR="00032764" w:rsidRPr="0084112E">
        <w:rPr>
          <w:rFonts w:ascii="Arial" w:hAnsi="Arial" w:cs="Arial"/>
          <w:sz w:val="18"/>
          <w:szCs w:val="18"/>
        </w:rPr>
        <w:t>Full NR</w:t>
      </w:r>
      <w:r w:rsidR="00E01C09" w:rsidRPr="0084112E">
        <w:rPr>
          <w:rFonts w:ascii="Arial" w:hAnsi="Arial" w:cs="Arial"/>
          <w:sz w:val="18"/>
          <w:szCs w:val="18"/>
        </w:rPr>
        <w:t>S</w:t>
      </w:r>
      <w:r w:rsidR="00032764" w:rsidRPr="0084112E">
        <w:rPr>
          <w:rFonts w:ascii="Arial" w:hAnsi="Arial" w:cs="Arial"/>
          <w:sz w:val="18"/>
          <w:szCs w:val="18"/>
        </w:rPr>
        <w:t>T</w:t>
      </w:r>
      <w:r w:rsidR="008B2417" w:rsidRPr="0084112E">
        <w:rPr>
          <w:rFonts w:ascii="Arial" w:hAnsi="Arial" w:cs="Arial"/>
          <w:sz w:val="18"/>
          <w:szCs w:val="18"/>
        </w:rPr>
        <w:t xml:space="preserve"> (Before QE</w:t>
      </w:r>
      <w:r w:rsidR="00CB2932" w:rsidRPr="0084112E">
        <w:rPr>
          <w:rFonts w:ascii="Arial" w:hAnsi="Arial" w:cs="Arial"/>
          <w:sz w:val="18"/>
          <w:szCs w:val="18"/>
        </w:rPr>
        <w:t xml:space="preserve"> and no GSR appointment)</w:t>
      </w:r>
      <w:r w:rsidR="00032764" w:rsidRPr="0084112E">
        <w:rPr>
          <w:rFonts w:ascii="Arial" w:hAnsi="Arial" w:cs="Arial"/>
          <w:sz w:val="18"/>
          <w:szCs w:val="18"/>
        </w:rPr>
        <w:tab/>
      </w:r>
      <w:r w:rsidR="00B31B6A" w:rsidRPr="0084112E">
        <w:rPr>
          <w:rFonts w:ascii="Arial" w:hAnsi="Arial" w:cs="Arial"/>
          <w:sz w:val="18"/>
          <w:szCs w:val="18"/>
        </w:rPr>
        <w:tab/>
      </w:r>
      <w:r w:rsidR="008B2417" w:rsidRPr="0084112E">
        <w:rPr>
          <w:rFonts w:ascii="Arial" w:hAnsi="Arial" w:cs="Arial"/>
          <w:sz w:val="18"/>
          <w:szCs w:val="18"/>
        </w:rPr>
        <w:tab/>
      </w:r>
      <w:r w:rsidR="00513103" w:rsidRPr="0084112E">
        <w:rPr>
          <w:rFonts w:ascii="Arial" w:hAnsi="Arial" w:cs="Arial"/>
          <w:sz w:val="18"/>
          <w:szCs w:val="18"/>
        </w:rPr>
        <w:tab/>
      </w:r>
      <w:r w:rsidR="0084112E">
        <w:rPr>
          <w:rFonts w:ascii="Arial" w:hAnsi="Arial" w:cs="Arial"/>
          <w:sz w:val="18"/>
          <w:szCs w:val="18"/>
        </w:rPr>
        <w:tab/>
      </w:r>
      <w:r w:rsidR="00513103" w:rsidRPr="0084112E">
        <w:rPr>
          <w:rFonts w:ascii="Arial" w:hAnsi="Arial" w:cs="Arial"/>
          <w:sz w:val="18"/>
          <w:szCs w:val="18"/>
        </w:rPr>
        <w:t xml:space="preserve">$5,034.00 </w:t>
      </w:r>
      <w:r w:rsidR="00032764" w:rsidRPr="0084112E">
        <w:rPr>
          <w:rFonts w:ascii="Arial" w:hAnsi="Arial" w:cs="Arial"/>
          <w:sz w:val="18"/>
          <w:szCs w:val="18"/>
        </w:rPr>
        <w:t>quarter</w:t>
      </w:r>
      <w:r w:rsidR="00F42A05" w:rsidRPr="0084112E">
        <w:rPr>
          <w:rFonts w:ascii="Arial" w:hAnsi="Arial" w:cs="Arial"/>
          <w:sz w:val="18"/>
          <w:szCs w:val="18"/>
        </w:rPr>
        <w:t xml:space="preserve"> / $</w:t>
      </w:r>
      <w:r w:rsidR="00513103" w:rsidRPr="0084112E">
        <w:rPr>
          <w:rFonts w:ascii="Arial" w:hAnsi="Arial" w:cs="Arial"/>
          <w:sz w:val="18"/>
          <w:szCs w:val="18"/>
        </w:rPr>
        <w:t>15,102</w:t>
      </w:r>
      <w:r w:rsidR="008D7430" w:rsidRPr="0084112E">
        <w:rPr>
          <w:rFonts w:ascii="Arial" w:hAnsi="Arial" w:cs="Arial"/>
          <w:sz w:val="18"/>
          <w:szCs w:val="18"/>
        </w:rPr>
        <w:t>.00</w:t>
      </w:r>
      <w:r w:rsidR="00513103" w:rsidRPr="0084112E">
        <w:rPr>
          <w:rFonts w:ascii="Arial" w:hAnsi="Arial" w:cs="Arial"/>
          <w:sz w:val="18"/>
          <w:szCs w:val="18"/>
        </w:rPr>
        <w:t xml:space="preserve"> </w:t>
      </w:r>
      <w:r w:rsidR="00F42A05" w:rsidRPr="0084112E">
        <w:rPr>
          <w:rFonts w:ascii="Arial" w:hAnsi="Arial" w:cs="Arial"/>
          <w:sz w:val="18"/>
          <w:szCs w:val="18"/>
        </w:rPr>
        <w:t>year</w:t>
      </w:r>
    </w:p>
    <w:p w:rsidR="008B3B81" w:rsidRDefault="008B2417" w:rsidP="006C0E09">
      <w:pPr>
        <w:tabs>
          <w:tab w:val="left" w:pos="2880"/>
        </w:tabs>
        <w:ind w:left="360"/>
        <w:rPr>
          <w:rFonts w:ascii="Arial" w:hAnsi="Arial" w:cs="Arial"/>
          <w:sz w:val="18"/>
          <w:szCs w:val="18"/>
        </w:rPr>
      </w:pPr>
      <w:r w:rsidRPr="0084112E">
        <w:rPr>
          <w:rFonts w:ascii="Arial" w:hAnsi="Arial" w:cs="Arial"/>
          <w:sz w:val="18"/>
          <w:szCs w:val="18"/>
        </w:rPr>
        <w:t xml:space="preserve">Reduced NRT </w:t>
      </w:r>
      <w:r w:rsidRPr="0084112E">
        <w:rPr>
          <w:rFonts w:ascii="Arial" w:hAnsi="Arial" w:cs="Arial"/>
          <w:sz w:val="16"/>
          <w:szCs w:val="16"/>
        </w:rPr>
        <w:t>(Before QE</w:t>
      </w:r>
      <w:r w:rsidR="00CB2932" w:rsidRPr="0084112E">
        <w:rPr>
          <w:rFonts w:ascii="Arial" w:hAnsi="Arial" w:cs="Arial"/>
          <w:sz w:val="16"/>
          <w:szCs w:val="16"/>
        </w:rPr>
        <w:t xml:space="preserve"> </w:t>
      </w:r>
      <w:r w:rsidR="000A21C5" w:rsidRPr="0084112E">
        <w:rPr>
          <w:rFonts w:ascii="Arial" w:hAnsi="Arial" w:cs="Arial"/>
          <w:sz w:val="16"/>
          <w:szCs w:val="16"/>
        </w:rPr>
        <w:t xml:space="preserve">but </w:t>
      </w:r>
      <w:r w:rsidR="00E90B6C" w:rsidRPr="0084112E">
        <w:rPr>
          <w:rFonts w:ascii="Arial" w:hAnsi="Arial" w:cs="Arial"/>
          <w:sz w:val="16"/>
          <w:szCs w:val="16"/>
        </w:rPr>
        <w:t xml:space="preserve">with GSR appointment </w:t>
      </w:r>
      <w:r w:rsidR="00E90B6C" w:rsidRPr="0084112E">
        <w:rPr>
          <w:rFonts w:ascii="Arial" w:hAnsi="Arial" w:cs="Arial"/>
          <w:sz w:val="16"/>
          <w:szCs w:val="16"/>
          <w:u w:val="single"/>
        </w:rPr>
        <w:t>&gt;</w:t>
      </w:r>
      <w:r w:rsidR="00E90B6C" w:rsidRPr="0084112E">
        <w:rPr>
          <w:rFonts w:ascii="Arial" w:hAnsi="Arial" w:cs="Arial"/>
          <w:sz w:val="16"/>
          <w:szCs w:val="16"/>
        </w:rPr>
        <w:t xml:space="preserve"> 25% on extramural sources)</w:t>
      </w:r>
      <w:r w:rsidR="00513103" w:rsidRPr="0084112E">
        <w:rPr>
          <w:rFonts w:ascii="Arial" w:hAnsi="Arial" w:cs="Arial"/>
          <w:sz w:val="18"/>
          <w:szCs w:val="18"/>
        </w:rPr>
        <w:tab/>
      </w:r>
      <w:r w:rsidR="0084112E">
        <w:rPr>
          <w:rFonts w:ascii="Arial" w:hAnsi="Arial" w:cs="Arial"/>
          <w:sz w:val="18"/>
          <w:szCs w:val="18"/>
        </w:rPr>
        <w:tab/>
      </w:r>
      <w:r w:rsidRPr="0084112E">
        <w:rPr>
          <w:rFonts w:ascii="Arial" w:hAnsi="Arial" w:cs="Arial"/>
          <w:sz w:val="18"/>
          <w:szCs w:val="18"/>
        </w:rPr>
        <w:t>$3,</w:t>
      </w:r>
      <w:r w:rsidR="00A64C97" w:rsidRPr="0084112E">
        <w:rPr>
          <w:rFonts w:ascii="Arial" w:hAnsi="Arial" w:cs="Arial"/>
          <w:sz w:val="18"/>
          <w:szCs w:val="18"/>
        </w:rPr>
        <w:t xml:space="preserve">775.50 </w:t>
      </w:r>
      <w:r w:rsidRPr="0084112E">
        <w:rPr>
          <w:rFonts w:ascii="Arial" w:hAnsi="Arial" w:cs="Arial"/>
          <w:sz w:val="18"/>
          <w:szCs w:val="18"/>
        </w:rPr>
        <w:t>quarter</w:t>
      </w:r>
      <w:r w:rsidR="00A64C97" w:rsidRPr="0084112E">
        <w:rPr>
          <w:rFonts w:ascii="Arial" w:hAnsi="Arial" w:cs="Arial"/>
          <w:sz w:val="18"/>
          <w:szCs w:val="18"/>
        </w:rPr>
        <w:t xml:space="preserve"> / </w:t>
      </w:r>
      <w:r w:rsidR="006E51F5" w:rsidRPr="0084112E">
        <w:rPr>
          <w:rFonts w:ascii="Arial" w:hAnsi="Arial" w:cs="Arial"/>
          <w:sz w:val="18"/>
          <w:szCs w:val="18"/>
        </w:rPr>
        <w:t>$</w:t>
      </w:r>
      <w:r w:rsidR="00A64C97" w:rsidRPr="0084112E">
        <w:rPr>
          <w:rFonts w:ascii="Arial" w:hAnsi="Arial" w:cs="Arial"/>
          <w:sz w:val="18"/>
          <w:szCs w:val="18"/>
        </w:rPr>
        <w:t>11,326.50 year</w:t>
      </w:r>
    </w:p>
    <w:p w:rsidR="00515121" w:rsidRDefault="00515121" w:rsidP="00515121">
      <w:pPr>
        <w:tabs>
          <w:tab w:val="left" w:pos="2880"/>
        </w:tabs>
        <w:rPr>
          <w:rFonts w:ascii="Arial" w:hAnsi="Arial" w:cs="Arial"/>
          <w:sz w:val="16"/>
          <w:szCs w:val="16"/>
        </w:rPr>
      </w:pPr>
    </w:p>
    <w:p w:rsidR="00515121" w:rsidRDefault="006C0E09" w:rsidP="00515121">
      <w:pPr>
        <w:tabs>
          <w:tab w:val="left" w:pos="2880"/>
        </w:tabs>
        <w:rPr>
          <w:rFonts w:ascii="Arial" w:hAnsi="Arial" w:cs="Arial"/>
          <w:sz w:val="16"/>
          <w:szCs w:val="16"/>
        </w:rPr>
      </w:pPr>
      <w:r w:rsidRPr="00F02600">
        <w:rPr>
          <w:rFonts w:ascii="Arial" w:hAnsi="Arial" w:cs="Arial"/>
          <w:sz w:val="16"/>
          <w:szCs w:val="16"/>
        </w:rPr>
        <w:t>Note: PhD students who have advanced to candidacy are exempt from NR</w:t>
      </w:r>
      <w:r>
        <w:rPr>
          <w:rFonts w:ascii="Arial" w:hAnsi="Arial" w:cs="Arial"/>
          <w:sz w:val="16"/>
          <w:szCs w:val="16"/>
        </w:rPr>
        <w:t>S</w:t>
      </w:r>
      <w:r w:rsidRPr="00F02600">
        <w:rPr>
          <w:rFonts w:ascii="Arial" w:hAnsi="Arial" w:cs="Arial"/>
          <w:sz w:val="16"/>
          <w:szCs w:val="16"/>
        </w:rPr>
        <w:t>T for three calendar years</w:t>
      </w:r>
      <w:r>
        <w:rPr>
          <w:rFonts w:ascii="Arial" w:hAnsi="Arial" w:cs="Arial"/>
          <w:sz w:val="16"/>
          <w:szCs w:val="16"/>
        </w:rPr>
        <w:t xml:space="preserve"> (36 consecutive months)</w:t>
      </w:r>
      <w:r w:rsidRPr="00F02600">
        <w:rPr>
          <w:rFonts w:ascii="Arial" w:hAnsi="Arial" w:cs="Arial"/>
          <w:sz w:val="16"/>
          <w:szCs w:val="16"/>
        </w:rPr>
        <w:t xml:space="preserve"> </w:t>
      </w:r>
      <w:proofErr w:type="gramStart"/>
      <w:r w:rsidRPr="00F02600">
        <w:rPr>
          <w:rFonts w:ascii="Arial" w:hAnsi="Arial" w:cs="Arial"/>
          <w:sz w:val="16"/>
          <w:szCs w:val="16"/>
        </w:rPr>
        <w:t>The</w:t>
      </w:r>
      <w:proofErr w:type="gramEnd"/>
      <w:r w:rsidRPr="00F02600">
        <w:rPr>
          <w:rFonts w:ascii="Arial" w:hAnsi="Arial" w:cs="Arial"/>
          <w:sz w:val="16"/>
          <w:szCs w:val="16"/>
        </w:rPr>
        <w:t xml:space="preserve"> elimination of the NR</w:t>
      </w:r>
      <w:r>
        <w:rPr>
          <w:rFonts w:ascii="Arial" w:hAnsi="Arial" w:cs="Arial"/>
          <w:sz w:val="16"/>
          <w:szCs w:val="16"/>
        </w:rPr>
        <w:t>S</w:t>
      </w:r>
      <w:r w:rsidRPr="00F02600">
        <w:rPr>
          <w:rFonts w:ascii="Arial" w:hAnsi="Arial" w:cs="Arial"/>
          <w:sz w:val="16"/>
          <w:szCs w:val="16"/>
        </w:rPr>
        <w:t>T goes into effect on the date of advancement (not the date the stude</w:t>
      </w:r>
      <w:r w:rsidR="00515121">
        <w:rPr>
          <w:rFonts w:ascii="Arial" w:hAnsi="Arial" w:cs="Arial"/>
          <w:sz w:val="16"/>
          <w:szCs w:val="16"/>
        </w:rPr>
        <w:t>nt passed QE</w:t>
      </w:r>
      <w:r w:rsidRPr="00F02600">
        <w:rPr>
          <w:rFonts w:ascii="Arial" w:hAnsi="Arial" w:cs="Arial"/>
          <w:sz w:val="16"/>
          <w:szCs w:val="16"/>
        </w:rPr>
        <w:t xml:space="preserve">).  PhD students who have not completed their degree after the three-year period, and who remain enrolled students, </w:t>
      </w:r>
      <w:r>
        <w:rPr>
          <w:rFonts w:ascii="Arial" w:hAnsi="Arial" w:cs="Arial"/>
          <w:sz w:val="16"/>
          <w:szCs w:val="16"/>
        </w:rPr>
        <w:t>can apply for an additional 2 year fellowship through OGS</w:t>
      </w:r>
      <w:r w:rsidRPr="00F02600">
        <w:rPr>
          <w:rFonts w:ascii="Arial" w:hAnsi="Arial" w:cs="Arial"/>
          <w:sz w:val="16"/>
          <w:szCs w:val="16"/>
        </w:rPr>
        <w:t>.</w:t>
      </w:r>
      <w:r w:rsidR="00515121" w:rsidRPr="00515121">
        <w:rPr>
          <w:rFonts w:ascii="Arial" w:hAnsi="Arial" w:cs="Arial"/>
          <w:sz w:val="16"/>
          <w:szCs w:val="16"/>
        </w:rPr>
        <w:t xml:space="preserve"> </w:t>
      </w:r>
    </w:p>
    <w:p w:rsidR="00515121" w:rsidRDefault="00515121" w:rsidP="00515121">
      <w:pPr>
        <w:tabs>
          <w:tab w:val="left" w:pos="2880"/>
        </w:tabs>
        <w:rPr>
          <w:rFonts w:ascii="Arial" w:hAnsi="Arial" w:cs="Arial"/>
          <w:sz w:val="16"/>
          <w:szCs w:val="16"/>
          <w:u w:val="single"/>
        </w:rPr>
      </w:pPr>
      <w:r w:rsidRPr="006C0E09">
        <w:rPr>
          <w:rFonts w:ascii="Arial" w:hAnsi="Arial" w:cs="Arial"/>
          <w:sz w:val="16"/>
          <w:szCs w:val="16"/>
        </w:rPr>
        <w:t xml:space="preserve">A 100% NRST credit will occur for any </w:t>
      </w:r>
      <w:r>
        <w:rPr>
          <w:rFonts w:ascii="Arial" w:hAnsi="Arial" w:cs="Arial"/>
          <w:sz w:val="16"/>
          <w:szCs w:val="16"/>
          <w:u w:val="single"/>
        </w:rPr>
        <w:t>2</w:t>
      </w:r>
      <w:r w:rsidRPr="00515121">
        <w:rPr>
          <w:rFonts w:ascii="Arial" w:hAnsi="Arial" w:cs="Arial"/>
          <w:sz w:val="16"/>
          <w:szCs w:val="16"/>
          <w:u w:val="single"/>
          <w:vertAlign w:val="superscript"/>
        </w:rPr>
        <w:t>nd</w:t>
      </w:r>
      <w:r>
        <w:rPr>
          <w:rFonts w:ascii="Arial" w:hAnsi="Arial" w:cs="Arial"/>
          <w:sz w:val="16"/>
          <w:szCs w:val="16"/>
          <w:u w:val="single"/>
        </w:rPr>
        <w:t xml:space="preserve"> or 3</w:t>
      </w:r>
      <w:r w:rsidRPr="00515121">
        <w:rPr>
          <w:rFonts w:ascii="Arial" w:hAnsi="Arial" w:cs="Arial"/>
          <w:sz w:val="16"/>
          <w:szCs w:val="16"/>
          <w:u w:val="single"/>
          <w:vertAlign w:val="superscript"/>
        </w:rPr>
        <w:t>rd</w:t>
      </w:r>
      <w:r>
        <w:rPr>
          <w:rFonts w:ascii="Arial" w:hAnsi="Arial" w:cs="Arial"/>
          <w:sz w:val="16"/>
          <w:szCs w:val="16"/>
          <w:u w:val="single"/>
        </w:rPr>
        <w:t xml:space="preserve"> </w:t>
      </w:r>
      <w:r w:rsidRPr="006C0E09">
        <w:rPr>
          <w:rFonts w:ascii="Arial" w:hAnsi="Arial" w:cs="Arial"/>
          <w:sz w:val="16"/>
          <w:szCs w:val="16"/>
          <w:u w:val="single"/>
        </w:rPr>
        <w:t>year international Ph.D. student</w:t>
      </w:r>
      <w:r w:rsidRPr="006C0E09">
        <w:rPr>
          <w:rFonts w:ascii="Arial" w:hAnsi="Arial" w:cs="Arial"/>
          <w:sz w:val="16"/>
          <w:szCs w:val="16"/>
        </w:rPr>
        <w:t xml:space="preserve"> who has not yet </w:t>
      </w:r>
      <w:proofErr w:type="spellStart"/>
      <w:r>
        <w:rPr>
          <w:rFonts w:ascii="Arial" w:hAnsi="Arial" w:cs="Arial"/>
          <w:sz w:val="16"/>
          <w:szCs w:val="16"/>
        </w:rPr>
        <w:t>ACed</w:t>
      </w:r>
      <w:proofErr w:type="spellEnd"/>
      <w:r w:rsidRPr="006C0E09">
        <w:rPr>
          <w:rFonts w:ascii="Arial" w:hAnsi="Arial" w:cs="Arial"/>
          <w:sz w:val="16"/>
          <w:szCs w:val="16"/>
        </w:rPr>
        <w:t xml:space="preserve"> with a </w:t>
      </w:r>
      <w:r w:rsidRPr="006C0E09">
        <w:rPr>
          <w:rFonts w:ascii="Arial" w:hAnsi="Arial" w:cs="Arial"/>
          <w:sz w:val="16"/>
          <w:szCs w:val="16"/>
          <w:u w:val="single"/>
        </w:rPr>
        <w:t>GSR appointment on extramural sources.</w:t>
      </w:r>
    </w:p>
    <w:p w:rsidR="00F5771C" w:rsidRPr="00515121" w:rsidRDefault="00F5771C" w:rsidP="00515121">
      <w:pPr>
        <w:spacing w:line="276" w:lineRule="auto"/>
        <w:rPr>
          <w:rFonts w:ascii="Arial" w:hAnsi="Arial" w:cs="Arial"/>
          <w:sz w:val="18"/>
          <w:szCs w:val="18"/>
        </w:rPr>
      </w:pPr>
    </w:p>
    <w:p w:rsidR="00032764" w:rsidRPr="009B6FD1" w:rsidRDefault="006C0E09" w:rsidP="00017132">
      <w:pPr>
        <w:rPr>
          <w:rFonts w:ascii="Arial" w:hAnsi="Arial" w:cs="Arial"/>
          <w:iCs/>
          <w:sz w:val="22"/>
          <w:szCs w:val="20"/>
        </w:rPr>
      </w:pPr>
      <w:r w:rsidRPr="009B6FD1">
        <w:rPr>
          <w:rFonts w:ascii="Arial" w:hAnsi="Arial" w:cs="Arial"/>
          <w:b/>
          <w:sz w:val="22"/>
          <w:szCs w:val="20"/>
        </w:rPr>
        <w:t>4</w:t>
      </w:r>
      <w:r w:rsidR="00A10F4E" w:rsidRPr="009B6FD1">
        <w:rPr>
          <w:rFonts w:ascii="Arial" w:hAnsi="Arial" w:cs="Arial"/>
          <w:b/>
          <w:sz w:val="22"/>
          <w:szCs w:val="20"/>
        </w:rPr>
        <w:t xml:space="preserve">.   </w:t>
      </w:r>
      <w:r w:rsidR="00032764" w:rsidRPr="009B6FD1">
        <w:rPr>
          <w:rFonts w:ascii="Arial" w:hAnsi="Arial" w:cs="Arial"/>
          <w:b/>
          <w:bCs/>
          <w:sz w:val="22"/>
          <w:szCs w:val="20"/>
        </w:rPr>
        <w:t>Graduate Student Researcher (GSR)</w:t>
      </w:r>
      <w:r w:rsidR="00E743EF" w:rsidRPr="009B6FD1">
        <w:rPr>
          <w:rFonts w:ascii="Arial" w:hAnsi="Arial" w:cs="Arial"/>
          <w:b/>
          <w:bCs/>
          <w:sz w:val="22"/>
          <w:szCs w:val="20"/>
        </w:rPr>
        <w:t xml:space="preserve">: </w:t>
      </w:r>
    </w:p>
    <w:p w:rsidR="00032764" w:rsidRPr="008B3B81" w:rsidRDefault="00032764" w:rsidP="00017132">
      <w:pPr>
        <w:pStyle w:val="Caption"/>
        <w:ind w:left="360"/>
        <w:rPr>
          <w:rFonts w:ascii="Arial" w:hAnsi="Arial" w:cs="Arial"/>
          <w:i w:val="0"/>
          <w:sz w:val="20"/>
          <w:szCs w:val="20"/>
        </w:rPr>
      </w:pPr>
      <w:r w:rsidRPr="008B3B81">
        <w:rPr>
          <w:rFonts w:ascii="Arial" w:hAnsi="Arial" w:cs="Arial"/>
          <w:i w:val="0"/>
          <w:sz w:val="20"/>
          <w:szCs w:val="20"/>
        </w:rPr>
        <w:t xml:space="preserve">All GSR appointments </w:t>
      </w:r>
      <w:r w:rsidRPr="008B3B81">
        <w:rPr>
          <w:rFonts w:ascii="Arial" w:hAnsi="Arial" w:cs="Arial"/>
          <w:i w:val="0"/>
          <w:sz w:val="20"/>
          <w:szCs w:val="20"/>
          <w:u w:val="single"/>
        </w:rPr>
        <w:t>&gt;</w:t>
      </w:r>
      <w:r w:rsidRPr="008B3B81">
        <w:rPr>
          <w:rFonts w:ascii="Arial" w:hAnsi="Arial" w:cs="Arial"/>
          <w:i w:val="0"/>
          <w:sz w:val="20"/>
          <w:szCs w:val="20"/>
        </w:rPr>
        <w:t xml:space="preserve"> 25% are entitled to full in-state fees (see #1) from the GSR fund</w:t>
      </w:r>
    </w:p>
    <w:p w:rsidR="00D13CBA" w:rsidRDefault="00032764" w:rsidP="00017132">
      <w:pPr>
        <w:pStyle w:val="Heading5"/>
        <w:ind w:left="360"/>
        <w:rPr>
          <w:rFonts w:ascii="Arial" w:hAnsi="Arial" w:cs="Arial"/>
          <w:i w:val="0"/>
          <w:sz w:val="20"/>
          <w:szCs w:val="20"/>
        </w:rPr>
      </w:pPr>
      <w:r w:rsidRPr="008B3B81">
        <w:rPr>
          <w:rFonts w:ascii="Arial" w:hAnsi="Arial" w:cs="Arial"/>
          <w:i w:val="0"/>
          <w:sz w:val="20"/>
          <w:szCs w:val="20"/>
        </w:rPr>
        <w:t xml:space="preserve">All non-resident GSR appointments </w:t>
      </w:r>
      <w:r w:rsidRPr="008B3B81">
        <w:rPr>
          <w:rFonts w:ascii="Arial" w:hAnsi="Arial" w:cs="Arial"/>
          <w:i w:val="0"/>
          <w:sz w:val="20"/>
          <w:szCs w:val="20"/>
          <w:u w:val="single"/>
        </w:rPr>
        <w:t>&gt;</w:t>
      </w:r>
      <w:r w:rsidR="00F5771C">
        <w:rPr>
          <w:rFonts w:ascii="Arial" w:hAnsi="Arial" w:cs="Arial"/>
          <w:i w:val="0"/>
          <w:sz w:val="20"/>
          <w:szCs w:val="20"/>
        </w:rPr>
        <w:t xml:space="preserve"> 25% are entitled to NRST</w:t>
      </w:r>
      <w:r w:rsidRPr="008B3B81">
        <w:rPr>
          <w:rFonts w:ascii="Arial" w:hAnsi="Arial" w:cs="Arial"/>
          <w:i w:val="0"/>
          <w:sz w:val="20"/>
          <w:szCs w:val="20"/>
        </w:rPr>
        <w:t xml:space="preserve"> (see #2) from </w:t>
      </w:r>
      <w:r w:rsidR="00F5771C">
        <w:rPr>
          <w:rFonts w:ascii="Arial" w:hAnsi="Arial" w:cs="Arial"/>
          <w:i w:val="0"/>
          <w:sz w:val="20"/>
          <w:szCs w:val="20"/>
        </w:rPr>
        <w:t xml:space="preserve">the </w:t>
      </w:r>
      <w:r w:rsidRPr="008B3B81">
        <w:rPr>
          <w:rFonts w:ascii="Arial" w:hAnsi="Arial" w:cs="Arial"/>
          <w:i w:val="0"/>
          <w:sz w:val="20"/>
          <w:szCs w:val="20"/>
        </w:rPr>
        <w:t>GSR fund</w:t>
      </w:r>
    </w:p>
    <w:p w:rsidR="009B6FD1" w:rsidRPr="009B6FD1" w:rsidRDefault="009B6FD1" w:rsidP="009B6FD1"/>
    <w:p w:rsidR="00032764" w:rsidRPr="009B6FD1" w:rsidRDefault="005E59C5" w:rsidP="00704BB3">
      <w:pPr>
        <w:ind w:left="720"/>
        <w:rPr>
          <w:rFonts w:ascii="Arial" w:hAnsi="Arial" w:cs="Arial"/>
          <w:b/>
          <w:bCs/>
          <w:sz w:val="22"/>
          <w:szCs w:val="20"/>
        </w:rPr>
      </w:pPr>
      <w:r w:rsidRPr="006B0459">
        <w:rPr>
          <w:rFonts w:ascii="Arial" w:hAnsi="Arial" w:cs="Arial"/>
          <w:b/>
          <w:bCs/>
          <w:sz w:val="22"/>
          <w:szCs w:val="20"/>
          <w:u w:val="single"/>
        </w:rPr>
        <w:t xml:space="preserve">Salary Scale effective </w:t>
      </w:r>
      <w:r w:rsidR="003868CD" w:rsidRPr="006B0459">
        <w:rPr>
          <w:rFonts w:ascii="Arial" w:hAnsi="Arial" w:cs="Arial"/>
          <w:b/>
          <w:bCs/>
          <w:sz w:val="22"/>
          <w:szCs w:val="20"/>
          <w:u w:val="single"/>
        </w:rPr>
        <w:t>Oct. 1, 201</w:t>
      </w:r>
      <w:r w:rsidR="00E31C4A">
        <w:rPr>
          <w:rFonts w:ascii="Arial" w:hAnsi="Arial" w:cs="Arial"/>
          <w:b/>
          <w:bCs/>
          <w:sz w:val="22"/>
          <w:szCs w:val="20"/>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170"/>
        <w:gridCol w:w="1170"/>
        <w:gridCol w:w="1260"/>
        <w:gridCol w:w="6340"/>
      </w:tblGrid>
      <w:tr w:rsidR="00D625E5" w:rsidRPr="00704BB3" w:rsidTr="009B6FD1">
        <w:trPr>
          <w:jc w:val="center"/>
        </w:trPr>
        <w:tc>
          <w:tcPr>
            <w:tcW w:w="625" w:type="dxa"/>
            <w:vAlign w:val="center"/>
          </w:tcPr>
          <w:p w:rsidR="00D625E5" w:rsidRPr="00704BB3" w:rsidRDefault="00D625E5">
            <w:pPr>
              <w:rPr>
                <w:rFonts w:ascii="Arial" w:hAnsi="Arial" w:cs="Arial"/>
                <w:b/>
                <w:sz w:val="18"/>
                <w:szCs w:val="18"/>
              </w:rPr>
            </w:pPr>
            <w:r w:rsidRPr="00704BB3">
              <w:rPr>
                <w:rFonts w:ascii="Arial" w:hAnsi="Arial" w:cs="Arial"/>
                <w:b/>
                <w:sz w:val="18"/>
                <w:szCs w:val="18"/>
              </w:rPr>
              <w:t>Step</w:t>
            </w:r>
          </w:p>
        </w:tc>
        <w:tc>
          <w:tcPr>
            <w:tcW w:w="1170" w:type="dxa"/>
            <w:vAlign w:val="center"/>
          </w:tcPr>
          <w:p w:rsidR="00D625E5" w:rsidRPr="00704BB3" w:rsidRDefault="00D625E5" w:rsidP="006826B7">
            <w:pPr>
              <w:jc w:val="center"/>
              <w:rPr>
                <w:rFonts w:ascii="Arial" w:hAnsi="Arial" w:cs="Arial"/>
                <w:b/>
                <w:sz w:val="18"/>
                <w:szCs w:val="18"/>
              </w:rPr>
            </w:pPr>
            <w:r w:rsidRPr="00704BB3">
              <w:rPr>
                <w:rFonts w:ascii="Arial" w:hAnsi="Arial" w:cs="Arial"/>
                <w:b/>
                <w:sz w:val="18"/>
                <w:szCs w:val="18"/>
              </w:rPr>
              <w:t>Monthly at 25%</w:t>
            </w:r>
          </w:p>
        </w:tc>
        <w:tc>
          <w:tcPr>
            <w:tcW w:w="1170" w:type="dxa"/>
          </w:tcPr>
          <w:p w:rsidR="00D625E5" w:rsidRPr="00704BB3" w:rsidRDefault="00D625E5" w:rsidP="006826B7">
            <w:pPr>
              <w:jc w:val="center"/>
              <w:rPr>
                <w:rFonts w:ascii="Arial" w:hAnsi="Arial" w:cs="Arial"/>
                <w:b/>
                <w:sz w:val="18"/>
                <w:szCs w:val="18"/>
              </w:rPr>
            </w:pPr>
            <w:r>
              <w:rPr>
                <w:rFonts w:ascii="Arial" w:hAnsi="Arial" w:cs="Arial"/>
                <w:b/>
                <w:sz w:val="18"/>
                <w:szCs w:val="18"/>
              </w:rPr>
              <w:t>Monthly at 49%</w:t>
            </w:r>
          </w:p>
        </w:tc>
        <w:tc>
          <w:tcPr>
            <w:tcW w:w="1260" w:type="dxa"/>
          </w:tcPr>
          <w:p w:rsidR="00D625E5" w:rsidRPr="00704BB3" w:rsidRDefault="00D625E5" w:rsidP="005E59C5">
            <w:pPr>
              <w:jc w:val="center"/>
              <w:rPr>
                <w:rFonts w:ascii="Arial" w:hAnsi="Arial" w:cs="Arial"/>
                <w:b/>
                <w:sz w:val="18"/>
                <w:szCs w:val="18"/>
              </w:rPr>
            </w:pPr>
            <w:r>
              <w:rPr>
                <w:rFonts w:ascii="Arial" w:hAnsi="Arial" w:cs="Arial"/>
                <w:b/>
                <w:sz w:val="18"/>
                <w:szCs w:val="18"/>
              </w:rPr>
              <w:t>Monthly at 100%</w:t>
            </w:r>
          </w:p>
        </w:tc>
        <w:tc>
          <w:tcPr>
            <w:tcW w:w="6340" w:type="dxa"/>
          </w:tcPr>
          <w:p w:rsidR="00D625E5" w:rsidRPr="00704BB3" w:rsidRDefault="00D625E5">
            <w:pPr>
              <w:rPr>
                <w:rFonts w:ascii="Arial" w:hAnsi="Arial" w:cs="Arial"/>
                <w:b/>
                <w:sz w:val="18"/>
                <w:szCs w:val="18"/>
              </w:rPr>
            </w:pPr>
            <w:r w:rsidRPr="00704BB3">
              <w:rPr>
                <w:rFonts w:ascii="Arial" w:hAnsi="Arial" w:cs="Arial"/>
                <w:b/>
                <w:sz w:val="18"/>
                <w:szCs w:val="18"/>
              </w:rPr>
              <w:t>Conditions for Step</w:t>
            </w:r>
          </w:p>
        </w:tc>
      </w:tr>
      <w:tr w:rsidR="003868CD" w:rsidRPr="00704BB3" w:rsidTr="009B6FD1">
        <w:trPr>
          <w:trHeight w:val="440"/>
          <w:jc w:val="center"/>
        </w:trPr>
        <w:tc>
          <w:tcPr>
            <w:tcW w:w="625" w:type="dxa"/>
            <w:vAlign w:val="center"/>
          </w:tcPr>
          <w:p w:rsidR="003868CD" w:rsidRDefault="003868CD" w:rsidP="003868CD">
            <w:pPr>
              <w:jc w:val="center"/>
              <w:rPr>
                <w:rFonts w:ascii="Arial" w:hAnsi="Arial" w:cs="Arial"/>
                <w:color w:val="000000"/>
                <w:sz w:val="18"/>
                <w:szCs w:val="18"/>
              </w:rPr>
            </w:pPr>
            <w:r>
              <w:rPr>
                <w:rFonts w:ascii="Arial" w:hAnsi="Arial" w:cs="Arial"/>
                <w:color w:val="000000"/>
                <w:sz w:val="18"/>
                <w:szCs w:val="18"/>
              </w:rPr>
              <w:t>3</w:t>
            </w:r>
          </w:p>
        </w:tc>
        <w:tc>
          <w:tcPr>
            <w:tcW w:w="1170" w:type="dxa"/>
            <w:vAlign w:val="center"/>
          </w:tcPr>
          <w:p w:rsidR="003868CD" w:rsidRDefault="00E31C4A" w:rsidP="003868CD">
            <w:pPr>
              <w:jc w:val="right"/>
              <w:rPr>
                <w:rFonts w:ascii="Arial" w:hAnsi="Arial" w:cs="Arial"/>
                <w:color w:val="000000"/>
                <w:sz w:val="18"/>
                <w:szCs w:val="18"/>
              </w:rPr>
            </w:pPr>
            <w:r>
              <w:rPr>
                <w:rFonts w:ascii="Arial" w:hAnsi="Arial" w:cs="Arial"/>
                <w:color w:val="000000"/>
                <w:sz w:val="18"/>
                <w:szCs w:val="18"/>
              </w:rPr>
              <w:t>$1,03</w:t>
            </w:r>
            <w:r w:rsidR="006B0459">
              <w:rPr>
                <w:rFonts w:ascii="Arial" w:hAnsi="Arial" w:cs="Arial"/>
                <w:color w:val="000000"/>
                <w:sz w:val="18"/>
                <w:szCs w:val="18"/>
              </w:rPr>
              <w:t>3.00</w:t>
            </w:r>
            <w:r w:rsidR="003868CD">
              <w:rPr>
                <w:rFonts w:ascii="Arial" w:hAnsi="Arial" w:cs="Arial"/>
                <w:color w:val="000000"/>
                <w:sz w:val="18"/>
                <w:szCs w:val="18"/>
              </w:rPr>
              <w:t xml:space="preserve"> </w:t>
            </w:r>
          </w:p>
        </w:tc>
        <w:tc>
          <w:tcPr>
            <w:tcW w:w="1170" w:type="dxa"/>
            <w:vAlign w:val="center"/>
          </w:tcPr>
          <w:p w:rsidR="003868CD" w:rsidRDefault="00E31C4A" w:rsidP="00E31C4A">
            <w:pPr>
              <w:jc w:val="right"/>
              <w:rPr>
                <w:rFonts w:ascii="Arial" w:hAnsi="Arial" w:cs="Arial"/>
                <w:color w:val="000000"/>
                <w:sz w:val="18"/>
                <w:szCs w:val="18"/>
              </w:rPr>
            </w:pPr>
            <w:r>
              <w:rPr>
                <w:rFonts w:ascii="Arial" w:hAnsi="Arial" w:cs="Arial"/>
                <w:color w:val="000000"/>
                <w:sz w:val="18"/>
                <w:szCs w:val="18"/>
              </w:rPr>
              <w:t>$2,024.68</w:t>
            </w:r>
            <w:r w:rsidR="003868CD">
              <w:rPr>
                <w:rFonts w:ascii="Arial" w:hAnsi="Arial" w:cs="Arial"/>
                <w:color w:val="000000"/>
                <w:sz w:val="18"/>
                <w:szCs w:val="18"/>
              </w:rPr>
              <w:t xml:space="preserve"> </w:t>
            </w:r>
          </w:p>
        </w:tc>
        <w:tc>
          <w:tcPr>
            <w:tcW w:w="1260" w:type="dxa"/>
            <w:vAlign w:val="center"/>
          </w:tcPr>
          <w:p w:rsidR="003868CD" w:rsidRDefault="00E31C4A" w:rsidP="003868CD">
            <w:pPr>
              <w:jc w:val="right"/>
              <w:rPr>
                <w:rFonts w:ascii="Arial" w:hAnsi="Arial" w:cs="Arial"/>
                <w:color w:val="000000"/>
                <w:sz w:val="18"/>
                <w:szCs w:val="18"/>
              </w:rPr>
            </w:pPr>
            <w:r>
              <w:rPr>
                <w:rFonts w:ascii="Arial" w:hAnsi="Arial" w:cs="Arial"/>
                <w:iCs/>
                <w:color w:val="000000"/>
                <w:sz w:val="18"/>
                <w:szCs w:val="18"/>
              </w:rPr>
              <w:t>$4,132</w:t>
            </w:r>
            <w:r w:rsidR="003868CD">
              <w:rPr>
                <w:rFonts w:ascii="Arial" w:hAnsi="Arial" w:cs="Arial"/>
                <w:iCs/>
                <w:color w:val="000000"/>
                <w:sz w:val="18"/>
                <w:szCs w:val="18"/>
              </w:rPr>
              <w:t xml:space="preserve">.00 </w:t>
            </w:r>
          </w:p>
        </w:tc>
        <w:tc>
          <w:tcPr>
            <w:tcW w:w="6340" w:type="dxa"/>
            <w:vAlign w:val="center"/>
          </w:tcPr>
          <w:p w:rsidR="003868CD" w:rsidRPr="00704BB3" w:rsidRDefault="009B6FD1" w:rsidP="009B6FD1">
            <w:pPr>
              <w:rPr>
                <w:rFonts w:ascii="Arial" w:hAnsi="Arial" w:cs="Arial"/>
                <w:sz w:val="18"/>
                <w:szCs w:val="18"/>
              </w:rPr>
            </w:pPr>
            <w:r>
              <w:rPr>
                <w:rFonts w:ascii="Arial" w:hAnsi="Arial" w:cs="Arial"/>
                <w:iCs/>
                <w:sz w:val="18"/>
                <w:szCs w:val="18"/>
              </w:rPr>
              <w:t>An appointee with a bachelor’s degree</w:t>
            </w:r>
          </w:p>
        </w:tc>
      </w:tr>
      <w:tr w:rsidR="003868CD" w:rsidRPr="00704BB3" w:rsidTr="009B6FD1">
        <w:trPr>
          <w:trHeight w:val="530"/>
          <w:jc w:val="center"/>
        </w:trPr>
        <w:tc>
          <w:tcPr>
            <w:tcW w:w="625" w:type="dxa"/>
            <w:vAlign w:val="center"/>
          </w:tcPr>
          <w:p w:rsidR="003868CD" w:rsidRDefault="003868CD" w:rsidP="003868CD">
            <w:pPr>
              <w:jc w:val="center"/>
              <w:rPr>
                <w:rFonts w:ascii="Arial" w:hAnsi="Arial" w:cs="Arial"/>
                <w:color w:val="000000"/>
                <w:sz w:val="18"/>
                <w:szCs w:val="18"/>
              </w:rPr>
            </w:pPr>
            <w:r>
              <w:rPr>
                <w:rFonts w:ascii="Arial" w:hAnsi="Arial" w:cs="Arial"/>
                <w:color w:val="000000"/>
                <w:sz w:val="18"/>
                <w:szCs w:val="18"/>
              </w:rPr>
              <w:t>4</w:t>
            </w:r>
          </w:p>
        </w:tc>
        <w:tc>
          <w:tcPr>
            <w:tcW w:w="1170" w:type="dxa"/>
            <w:vAlign w:val="center"/>
          </w:tcPr>
          <w:p w:rsidR="003868CD" w:rsidRDefault="003868CD" w:rsidP="00E31C4A">
            <w:pPr>
              <w:jc w:val="right"/>
              <w:rPr>
                <w:rFonts w:ascii="Arial" w:hAnsi="Arial" w:cs="Arial"/>
                <w:color w:val="000000"/>
                <w:sz w:val="18"/>
                <w:szCs w:val="18"/>
              </w:rPr>
            </w:pPr>
            <w:r>
              <w:rPr>
                <w:rFonts w:ascii="Arial" w:hAnsi="Arial" w:cs="Arial"/>
                <w:color w:val="000000"/>
                <w:sz w:val="18"/>
                <w:szCs w:val="18"/>
              </w:rPr>
              <w:t>$1,</w:t>
            </w:r>
            <w:r w:rsidR="00E31C4A">
              <w:rPr>
                <w:rFonts w:ascii="Arial" w:hAnsi="Arial" w:cs="Arial"/>
                <w:color w:val="000000"/>
                <w:sz w:val="18"/>
                <w:szCs w:val="18"/>
              </w:rPr>
              <w:t>115.75</w:t>
            </w:r>
            <w:r>
              <w:rPr>
                <w:rFonts w:ascii="Arial" w:hAnsi="Arial" w:cs="Arial"/>
                <w:color w:val="000000"/>
                <w:sz w:val="18"/>
                <w:szCs w:val="18"/>
              </w:rPr>
              <w:t xml:space="preserve"> </w:t>
            </w:r>
          </w:p>
        </w:tc>
        <w:tc>
          <w:tcPr>
            <w:tcW w:w="1170" w:type="dxa"/>
            <w:vAlign w:val="center"/>
          </w:tcPr>
          <w:p w:rsidR="003868CD" w:rsidRDefault="003868CD" w:rsidP="006B0459">
            <w:pPr>
              <w:jc w:val="right"/>
              <w:rPr>
                <w:rFonts w:ascii="Arial" w:hAnsi="Arial" w:cs="Arial"/>
                <w:color w:val="000000"/>
                <w:sz w:val="18"/>
                <w:szCs w:val="18"/>
              </w:rPr>
            </w:pPr>
            <w:r>
              <w:rPr>
                <w:rFonts w:ascii="Arial" w:hAnsi="Arial" w:cs="Arial"/>
                <w:color w:val="000000"/>
                <w:sz w:val="18"/>
                <w:szCs w:val="18"/>
              </w:rPr>
              <w:t>$2</w:t>
            </w:r>
            <w:r w:rsidR="00E31C4A">
              <w:rPr>
                <w:rFonts w:ascii="Arial" w:hAnsi="Arial" w:cs="Arial"/>
                <w:color w:val="000000"/>
                <w:sz w:val="18"/>
                <w:szCs w:val="18"/>
              </w:rPr>
              <w:t>,186.87</w:t>
            </w:r>
            <w:r>
              <w:rPr>
                <w:rFonts w:ascii="Arial" w:hAnsi="Arial" w:cs="Arial"/>
                <w:color w:val="000000"/>
                <w:sz w:val="18"/>
                <w:szCs w:val="18"/>
              </w:rPr>
              <w:t xml:space="preserve"> </w:t>
            </w:r>
          </w:p>
        </w:tc>
        <w:tc>
          <w:tcPr>
            <w:tcW w:w="1260" w:type="dxa"/>
            <w:vAlign w:val="center"/>
          </w:tcPr>
          <w:p w:rsidR="003868CD" w:rsidRDefault="00E31C4A" w:rsidP="003868CD">
            <w:pPr>
              <w:jc w:val="right"/>
              <w:rPr>
                <w:rFonts w:ascii="Arial" w:hAnsi="Arial" w:cs="Arial"/>
                <w:color w:val="000000"/>
                <w:sz w:val="18"/>
                <w:szCs w:val="18"/>
              </w:rPr>
            </w:pPr>
            <w:r>
              <w:rPr>
                <w:rFonts w:ascii="Arial" w:hAnsi="Arial" w:cs="Arial"/>
                <w:iCs/>
                <w:color w:val="000000"/>
                <w:sz w:val="18"/>
                <w:szCs w:val="18"/>
              </w:rPr>
              <w:t>$4,463</w:t>
            </w:r>
            <w:r w:rsidR="003868CD">
              <w:rPr>
                <w:rFonts w:ascii="Arial" w:hAnsi="Arial" w:cs="Arial"/>
                <w:iCs/>
                <w:color w:val="000000"/>
                <w:sz w:val="18"/>
                <w:szCs w:val="18"/>
              </w:rPr>
              <w:t xml:space="preserve">.00 </w:t>
            </w:r>
          </w:p>
        </w:tc>
        <w:tc>
          <w:tcPr>
            <w:tcW w:w="6340" w:type="dxa"/>
            <w:vAlign w:val="center"/>
          </w:tcPr>
          <w:p w:rsidR="003868CD" w:rsidRPr="00704BB3" w:rsidRDefault="009B6FD1" w:rsidP="009B6FD1">
            <w:pPr>
              <w:rPr>
                <w:rFonts w:ascii="Arial" w:hAnsi="Arial" w:cs="Arial"/>
                <w:sz w:val="18"/>
                <w:szCs w:val="18"/>
              </w:rPr>
            </w:pPr>
            <w:r>
              <w:rPr>
                <w:rFonts w:ascii="Arial" w:hAnsi="Arial" w:cs="Arial"/>
                <w:sz w:val="18"/>
                <w:szCs w:val="18"/>
              </w:rPr>
              <w:t>An appointee who has completed a relevant M.S. program at UCD or elsewhere but has not yet been advanced to candidacy for the Ph.D. degree</w:t>
            </w:r>
          </w:p>
        </w:tc>
      </w:tr>
      <w:tr w:rsidR="003868CD" w:rsidRPr="00704BB3" w:rsidTr="009B6FD1">
        <w:trPr>
          <w:trHeight w:val="440"/>
          <w:jc w:val="center"/>
        </w:trPr>
        <w:tc>
          <w:tcPr>
            <w:tcW w:w="625" w:type="dxa"/>
            <w:vAlign w:val="center"/>
          </w:tcPr>
          <w:p w:rsidR="003868CD" w:rsidRDefault="003868CD" w:rsidP="003868CD">
            <w:pPr>
              <w:jc w:val="center"/>
              <w:rPr>
                <w:rFonts w:ascii="Arial" w:hAnsi="Arial" w:cs="Arial"/>
                <w:color w:val="000000"/>
                <w:sz w:val="18"/>
                <w:szCs w:val="18"/>
              </w:rPr>
            </w:pPr>
            <w:r>
              <w:rPr>
                <w:rFonts w:ascii="Arial" w:hAnsi="Arial" w:cs="Arial"/>
                <w:color w:val="000000"/>
                <w:sz w:val="18"/>
                <w:szCs w:val="18"/>
              </w:rPr>
              <w:t>5</w:t>
            </w:r>
          </w:p>
        </w:tc>
        <w:tc>
          <w:tcPr>
            <w:tcW w:w="1170" w:type="dxa"/>
            <w:vAlign w:val="center"/>
          </w:tcPr>
          <w:p w:rsidR="003868CD" w:rsidRDefault="003868CD" w:rsidP="006B0459">
            <w:pPr>
              <w:jc w:val="right"/>
              <w:rPr>
                <w:rFonts w:ascii="Arial" w:hAnsi="Arial" w:cs="Arial"/>
                <w:color w:val="000000"/>
                <w:sz w:val="18"/>
                <w:szCs w:val="18"/>
              </w:rPr>
            </w:pPr>
            <w:r>
              <w:rPr>
                <w:rFonts w:ascii="Arial" w:hAnsi="Arial" w:cs="Arial"/>
                <w:color w:val="000000"/>
                <w:sz w:val="18"/>
                <w:szCs w:val="18"/>
              </w:rPr>
              <w:t>$1,</w:t>
            </w:r>
            <w:r w:rsidR="00E31C4A">
              <w:rPr>
                <w:rFonts w:ascii="Arial" w:hAnsi="Arial" w:cs="Arial"/>
                <w:color w:val="000000"/>
                <w:sz w:val="18"/>
                <w:szCs w:val="18"/>
              </w:rPr>
              <w:t>190.00</w:t>
            </w:r>
            <w:r>
              <w:rPr>
                <w:rFonts w:ascii="Arial" w:hAnsi="Arial" w:cs="Arial"/>
                <w:color w:val="000000"/>
                <w:sz w:val="18"/>
                <w:szCs w:val="18"/>
              </w:rPr>
              <w:t xml:space="preserve"> </w:t>
            </w:r>
          </w:p>
        </w:tc>
        <w:tc>
          <w:tcPr>
            <w:tcW w:w="1170" w:type="dxa"/>
            <w:vAlign w:val="center"/>
          </w:tcPr>
          <w:p w:rsidR="003868CD" w:rsidRDefault="003868CD" w:rsidP="006B0459">
            <w:pPr>
              <w:jc w:val="right"/>
              <w:rPr>
                <w:rFonts w:ascii="Arial" w:hAnsi="Arial" w:cs="Arial"/>
                <w:color w:val="000000"/>
                <w:sz w:val="18"/>
                <w:szCs w:val="18"/>
              </w:rPr>
            </w:pPr>
            <w:r>
              <w:rPr>
                <w:rFonts w:ascii="Arial" w:hAnsi="Arial" w:cs="Arial"/>
                <w:color w:val="000000"/>
                <w:sz w:val="18"/>
                <w:szCs w:val="18"/>
              </w:rPr>
              <w:t>$2,</w:t>
            </w:r>
            <w:r w:rsidR="00E31C4A">
              <w:rPr>
                <w:rFonts w:ascii="Arial" w:hAnsi="Arial" w:cs="Arial"/>
                <w:color w:val="000000"/>
                <w:sz w:val="18"/>
                <w:szCs w:val="18"/>
              </w:rPr>
              <w:t>332.40</w:t>
            </w:r>
            <w:r>
              <w:rPr>
                <w:rFonts w:ascii="Arial" w:hAnsi="Arial" w:cs="Arial"/>
                <w:color w:val="000000"/>
                <w:sz w:val="18"/>
                <w:szCs w:val="18"/>
              </w:rPr>
              <w:t xml:space="preserve"> </w:t>
            </w:r>
          </w:p>
        </w:tc>
        <w:tc>
          <w:tcPr>
            <w:tcW w:w="1260" w:type="dxa"/>
            <w:vAlign w:val="center"/>
          </w:tcPr>
          <w:p w:rsidR="003868CD" w:rsidRDefault="006B0459" w:rsidP="00E31C4A">
            <w:pPr>
              <w:jc w:val="right"/>
              <w:rPr>
                <w:rFonts w:ascii="Arial" w:hAnsi="Arial" w:cs="Arial"/>
                <w:color w:val="000000"/>
                <w:sz w:val="18"/>
                <w:szCs w:val="18"/>
              </w:rPr>
            </w:pPr>
            <w:r>
              <w:rPr>
                <w:rFonts w:ascii="Arial" w:hAnsi="Arial" w:cs="Arial"/>
                <w:iCs/>
                <w:color w:val="000000"/>
                <w:sz w:val="18"/>
                <w:szCs w:val="18"/>
              </w:rPr>
              <w:t>$4,</w:t>
            </w:r>
            <w:r w:rsidR="00E31C4A">
              <w:rPr>
                <w:rFonts w:ascii="Arial" w:hAnsi="Arial" w:cs="Arial"/>
                <w:iCs/>
                <w:color w:val="000000"/>
                <w:sz w:val="18"/>
                <w:szCs w:val="18"/>
              </w:rPr>
              <w:t>760</w:t>
            </w:r>
            <w:r w:rsidR="003868CD">
              <w:rPr>
                <w:rFonts w:ascii="Arial" w:hAnsi="Arial" w:cs="Arial"/>
                <w:iCs/>
                <w:color w:val="000000"/>
                <w:sz w:val="18"/>
                <w:szCs w:val="18"/>
              </w:rPr>
              <w:t xml:space="preserve">.00 </w:t>
            </w:r>
          </w:p>
        </w:tc>
        <w:tc>
          <w:tcPr>
            <w:tcW w:w="6340" w:type="dxa"/>
            <w:vAlign w:val="center"/>
          </w:tcPr>
          <w:p w:rsidR="009B6FD1" w:rsidRPr="009B6FD1" w:rsidRDefault="009B6FD1" w:rsidP="009B6FD1">
            <w:pPr>
              <w:rPr>
                <w:rFonts w:ascii="Arial" w:hAnsi="Arial" w:cs="Arial"/>
                <w:iCs/>
                <w:sz w:val="18"/>
                <w:szCs w:val="18"/>
              </w:rPr>
            </w:pPr>
            <w:r w:rsidRPr="00704BB3">
              <w:rPr>
                <w:rFonts w:ascii="Arial" w:hAnsi="Arial" w:cs="Arial"/>
                <w:iCs/>
                <w:sz w:val="18"/>
                <w:szCs w:val="18"/>
              </w:rPr>
              <w:t>An appointee who has been advanced to candidacy for the Ph.D. degree</w:t>
            </w:r>
          </w:p>
        </w:tc>
      </w:tr>
    </w:tbl>
    <w:p w:rsidR="00032764" w:rsidRPr="00A10F4E" w:rsidRDefault="00032764">
      <w:pPr>
        <w:rPr>
          <w:rFonts w:ascii="Arial" w:hAnsi="Arial" w:cs="Arial"/>
          <w:i/>
          <w:iCs/>
          <w:sz w:val="10"/>
          <w:szCs w:val="10"/>
        </w:rPr>
      </w:pPr>
    </w:p>
    <w:p w:rsidR="009B6FD1" w:rsidRPr="009B6FD1" w:rsidRDefault="009B6FD1" w:rsidP="009B6FD1">
      <w:pPr>
        <w:pStyle w:val="ListParagraph"/>
        <w:numPr>
          <w:ilvl w:val="0"/>
          <w:numId w:val="6"/>
        </w:numPr>
        <w:ind w:right="335"/>
        <w:rPr>
          <w:sz w:val="18"/>
          <w:szCs w:val="18"/>
        </w:rPr>
      </w:pPr>
      <w:r w:rsidRPr="009B6FD1">
        <w:rPr>
          <w:sz w:val="18"/>
          <w:szCs w:val="18"/>
        </w:rPr>
        <w:t xml:space="preserve">Requests for exceptions to appointment step or advancement may be made to the graduate program Adviser based on qualifications, project requirements, performance, competitive needs to cover nonresident tuition expenses, or other competitive requirements. </w:t>
      </w:r>
    </w:p>
    <w:p w:rsidR="009B6FD1" w:rsidRPr="009B6FD1" w:rsidRDefault="009B6FD1" w:rsidP="009B6FD1">
      <w:pPr>
        <w:pStyle w:val="ListParagraph"/>
        <w:numPr>
          <w:ilvl w:val="0"/>
          <w:numId w:val="6"/>
        </w:numPr>
        <w:ind w:right="335"/>
        <w:rPr>
          <w:sz w:val="18"/>
          <w:szCs w:val="18"/>
        </w:rPr>
      </w:pPr>
      <w:r w:rsidRPr="009B6FD1">
        <w:rPr>
          <w:sz w:val="18"/>
          <w:szCs w:val="18"/>
        </w:rPr>
        <w:t xml:space="preserve">New students may be hired in GSR titles during the summer before their first quarter of enrollment provided that such hiring complies with any applicable visa requirements. </w:t>
      </w:r>
    </w:p>
    <w:p w:rsidR="009B6FD1" w:rsidRPr="009B6FD1" w:rsidRDefault="009B6FD1" w:rsidP="009B6FD1">
      <w:pPr>
        <w:pStyle w:val="ListParagraph"/>
        <w:numPr>
          <w:ilvl w:val="0"/>
          <w:numId w:val="6"/>
        </w:numPr>
        <w:ind w:right="335"/>
        <w:rPr>
          <w:sz w:val="18"/>
          <w:szCs w:val="18"/>
        </w:rPr>
      </w:pPr>
      <w:r w:rsidRPr="009B6FD1">
        <w:rPr>
          <w:sz w:val="18"/>
          <w:szCs w:val="18"/>
        </w:rPr>
        <w:t>A minimum partial GSR appointment for all grad students shall be 25% at any level if this is their sole appointment. When the sole appointment, GSR appointments &lt; 25% may occur by exception only by written request and with written approval from the graduate program Adviser. For GSR appointments coinciding with an overlapping 25% TA or Reader appointment, GSR appointment below 25% are acceptable. GSR appointments in the range 1-20% are permitted, only as an augmentation to another award (e.g. external fellowship) that provides fee and tuition remission to meet the level of compensation normally provided to students.</w:t>
      </w:r>
    </w:p>
    <w:p w:rsidR="009B6FD1" w:rsidRPr="009B6FD1" w:rsidRDefault="009B6FD1" w:rsidP="009B6FD1">
      <w:pPr>
        <w:pStyle w:val="ListParagraph"/>
        <w:numPr>
          <w:ilvl w:val="0"/>
          <w:numId w:val="6"/>
        </w:numPr>
        <w:ind w:right="335"/>
        <w:rPr>
          <w:sz w:val="18"/>
          <w:szCs w:val="18"/>
        </w:rPr>
      </w:pPr>
      <w:r w:rsidRPr="009B6FD1">
        <w:rPr>
          <w:sz w:val="18"/>
          <w:szCs w:val="18"/>
        </w:rPr>
        <w:t xml:space="preserve">During normal academic periods, standard GSR appointments will not exceed 49%. GSR appointments @ 50% or above shall be by Department exception.  </w:t>
      </w:r>
    </w:p>
    <w:p w:rsidR="00E956E0" w:rsidRPr="009B6FD1" w:rsidRDefault="009B6FD1" w:rsidP="009B6FD1">
      <w:pPr>
        <w:pStyle w:val="ListParagraph"/>
        <w:numPr>
          <w:ilvl w:val="0"/>
          <w:numId w:val="6"/>
        </w:numPr>
        <w:ind w:right="335"/>
        <w:rPr>
          <w:sz w:val="18"/>
          <w:szCs w:val="18"/>
        </w:rPr>
      </w:pPr>
      <w:r w:rsidRPr="009B6FD1">
        <w:rPr>
          <w:sz w:val="18"/>
          <w:szCs w:val="18"/>
        </w:rPr>
        <w:t>During break periods when Engineering classes are not in session and during summer, appointments up to 100% are allowed.</w:t>
      </w:r>
    </w:p>
    <w:p w:rsidR="009B6FD1" w:rsidRPr="009B6FD1" w:rsidRDefault="009B6FD1" w:rsidP="009B6FD1">
      <w:pPr>
        <w:pStyle w:val="ListParagraph"/>
        <w:ind w:left="360" w:right="335"/>
        <w:rPr>
          <w:sz w:val="16"/>
          <w:szCs w:val="16"/>
        </w:rPr>
      </w:pPr>
    </w:p>
    <w:p w:rsidR="00E956E0" w:rsidRPr="009B6FD1" w:rsidRDefault="0084112E" w:rsidP="00E956E0">
      <w:pPr>
        <w:ind w:right="335"/>
        <w:rPr>
          <w:rFonts w:ascii="Arial" w:hAnsi="Arial" w:cs="Arial"/>
          <w:b/>
          <w:sz w:val="22"/>
          <w:szCs w:val="20"/>
        </w:rPr>
      </w:pPr>
      <w:r w:rsidRPr="005B39C5">
        <w:rPr>
          <w:rFonts w:ascii="Arial" w:hAnsi="Arial" w:cs="Arial"/>
          <w:b/>
          <w:sz w:val="22"/>
          <w:szCs w:val="20"/>
        </w:rPr>
        <w:t xml:space="preserve">Salary effective </w:t>
      </w:r>
      <w:r w:rsidRPr="005B39C5">
        <w:rPr>
          <w:rFonts w:ascii="Arial" w:hAnsi="Arial" w:cs="Arial"/>
          <w:b/>
          <w:bCs/>
          <w:sz w:val="22"/>
          <w:szCs w:val="20"/>
          <w:u w:val="single"/>
        </w:rPr>
        <w:t xml:space="preserve">Oct. 1, </w:t>
      </w:r>
      <w:r w:rsidR="003868CD" w:rsidRPr="005B39C5">
        <w:rPr>
          <w:rFonts w:ascii="Arial" w:hAnsi="Arial" w:cs="Arial"/>
          <w:b/>
          <w:bCs/>
          <w:sz w:val="22"/>
          <w:szCs w:val="20"/>
          <w:u w:val="single"/>
        </w:rPr>
        <w:t>201</w:t>
      </w:r>
      <w:r w:rsidR="00DA02E9">
        <w:rPr>
          <w:rFonts w:ascii="Arial" w:hAnsi="Arial" w:cs="Arial"/>
          <w:b/>
          <w:bCs/>
          <w:sz w:val="22"/>
          <w:szCs w:val="20"/>
          <w:u w:val="single"/>
        </w:rPr>
        <w:t>9</w:t>
      </w:r>
    </w:p>
    <w:p w:rsidR="004476F9" w:rsidRDefault="001D530A" w:rsidP="004476F9">
      <w:pPr>
        <w:pStyle w:val="ListParagraph"/>
        <w:numPr>
          <w:ilvl w:val="0"/>
          <w:numId w:val="6"/>
        </w:numPr>
        <w:spacing w:before="120"/>
        <w:rPr>
          <w:rFonts w:ascii="Arial" w:hAnsi="Arial" w:cs="Arial"/>
          <w:b/>
          <w:sz w:val="22"/>
          <w:szCs w:val="20"/>
        </w:rPr>
      </w:pPr>
      <w:r w:rsidRPr="004476F9">
        <w:rPr>
          <w:rFonts w:ascii="Arial" w:hAnsi="Arial" w:cs="Arial"/>
          <w:b/>
          <w:sz w:val="22"/>
          <w:szCs w:val="20"/>
        </w:rPr>
        <w:t>Teaching Assistant</w:t>
      </w:r>
      <w:r w:rsidR="004476F9" w:rsidRPr="004476F9">
        <w:rPr>
          <w:rFonts w:ascii="Arial" w:hAnsi="Arial" w:cs="Arial"/>
          <w:b/>
          <w:sz w:val="22"/>
          <w:szCs w:val="20"/>
        </w:rPr>
        <w:t xml:space="preserve"> (TA)</w:t>
      </w:r>
      <w:r w:rsidR="00A64C97" w:rsidRPr="004476F9">
        <w:rPr>
          <w:rFonts w:ascii="Arial" w:hAnsi="Arial" w:cs="Arial"/>
          <w:b/>
          <w:sz w:val="22"/>
          <w:szCs w:val="20"/>
        </w:rPr>
        <w:t xml:space="preserve"> </w:t>
      </w:r>
    </w:p>
    <w:tbl>
      <w:tblPr>
        <w:tblStyle w:val="TableGrid"/>
        <w:tblW w:w="0" w:type="auto"/>
        <w:tblInd w:w="360" w:type="dxa"/>
        <w:tblLook w:val="04A0" w:firstRow="1" w:lastRow="0" w:firstColumn="1" w:lastColumn="0" w:noHBand="0" w:noVBand="1"/>
      </w:tblPr>
      <w:tblGrid>
        <w:gridCol w:w="805"/>
        <w:gridCol w:w="1530"/>
        <w:gridCol w:w="1890"/>
      </w:tblGrid>
      <w:tr w:rsidR="004476F9" w:rsidTr="006318B7">
        <w:tc>
          <w:tcPr>
            <w:tcW w:w="805" w:type="dxa"/>
          </w:tcPr>
          <w:p w:rsidR="004476F9" w:rsidRDefault="004476F9" w:rsidP="006318B7">
            <w:pPr>
              <w:pStyle w:val="Heading2"/>
              <w:rPr>
                <w:rFonts w:ascii="Arial" w:hAnsi="Arial" w:cs="Arial"/>
                <w:sz w:val="20"/>
                <w:szCs w:val="20"/>
              </w:rPr>
            </w:pPr>
            <w:r w:rsidRPr="008B3B81">
              <w:rPr>
                <w:rFonts w:ascii="Arial" w:hAnsi="Arial" w:cs="Arial"/>
                <w:sz w:val="20"/>
                <w:szCs w:val="20"/>
              </w:rPr>
              <w:t>25%</w:t>
            </w:r>
            <w:r>
              <w:rPr>
                <w:rFonts w:ascii="Arial" w:hAnsi="Arial" w:cs="Arial"/>
                <w:sz w:val="20"/>
                <w:szCs w:val="20"/>
              </w:rPr>
              <w:t xml:space="preserve"> </w:t>
            </w:r>
            <w:r w:rsidRPr="008B3B81">
              <w:rPr>
                <w:rFonts w:ascii="Arial" w:hAnsi="Arial" w:cs="Arial"/>
                <w:sz w:val="20"/>
                <w:szCs w:val="20"/>
              </w:rPr>
              <w:t xml:space="preserve"> </w:t>
            </w:r>
          </w:p>
        </w:tc>
        <w:tc>
          <w:tcPr>
            <w:tcW w:w="1530" w:type="dxa"/>
          </w:tcPr>
          <w:p w:rsidR="004476F9" w:rsidRDefault="00DA02E9" w:rsidP="004476F9">
            <w:pPr>
              <w:pStyle w:val="Heading2"/>
              <w:rPr>
                <w:rFonts w:ascii="Arial" w:hAnsi="Arial" w:cs="Arial"/>
                <w:sz w:val="20"/>
                <w:szCs w:val="20"/>
              </w:rPr>
            </w:pPr>
            <w:r>
              <w:rPr>
                <w:rFonts w:ascii="Arial" w:hAnsi="Arial" w:cs="Arial"/>
                <w:sz w:val="20"/>
                <w:szCs w:val="20"/>
              </w:rPr>
              <w:t>$1,217.31</w:t>
            </w:r>
            <w:r w:rsidR="004476F9" w:rsidRPr="004476F9">
              <w:rPr>
                <w:rFonts w:ascii="Arial" w:hAnsi="Arial" w:cs="Arial"/>
                <w:sz w:val="20"/>
                <w:szCs w:val="20"/>
              </w:rPr>
              <w:t>/</w:t>
            </w:r>
            <w:proofErr w:type="spellStart"/>
            <w:r w:rsidR="004476F9" w:rsidRPr="004476F9">
              <w:rPr>
                <w:rFonts w:ascii="Arial" w:hAnsi="Arial" w:cs="Arial"/>
                <w:sz w:val="20"/>
                <w:szCs w:val="20"/>
              </w:rPr>
              <w:t>mo</w:t>
            </w:r>
            <w:proofErr w:type="spellEnd"/>
          </w:p>
        </w:tc>
        <w:tc>
          <w:tcPr>
            <w:tcW w:w="1890" w:type="dxa"/>
          </w:tcPr>
          <w:p w:rsidR="004476F9" w:rsidRDefault="00DA02E9" w:rsidP="006318B7">
            <w:pPr>
              <w:pStyle w:val="Heading2"/>
              <w:rPr>
                <w:rFonts w:ascii="Arial" w:hAnsi="Arial" w:cs="Arial"/>
                <w:sz w:val="20"/>
                <w:szCs w:val="20"/>
              </w:rPr>
            </w:pPr>
            <w:r>
              <w:rPr>
                <w:rFonts w:ascii="Arial" w:hAnsi="Arial" w:cs="Arial"/>
                <w:sz w:val="20"/>
                <w:szCs w:val="20"/>
              </w:rPr>
              <w:t>$3,651.92</w:t>
            </w:r>
            <w:r w:rsidR="004476F9" w:rsidRPr="004476F9">
              <w:rPr>
                <w:rFonts w:ascii="Arial" w:hAnsi="Arial" w:cs="Arial"/>
                <w:sz w:val="20"/>
                <w:szCs w:val="20"/>
              </w:rPr>
              <w:t>/quarter</w:t>
            </w:r>
          </w:p>
        </w:tc>
      </w:tr>
    </w:tbl>
    <w:p w:rsidR="00017132" w:rsidRDefault="00032764" w:rsidP="004476F9">
      <w:pPr>
        <w:pStyle w:val="Heading5"/>
        <w:ind w:firstLine="360"/>
        <w:rPr>
          <w:rFonts w:ascii="Arial" w:hAnsi="Arial" w:cs="Arial"/>
          <w:i w:val="0"/>
          <w:sz w:val="20"/>
          <w:szCs w:val="20"/>
        </w:rPr>
      </w:pPr>
      <w:r w:rsidRPr="008B3B81">
        <w:rPr>
          <w:rFonts w:ascii="Arial" w:hAnsi="Arial" w:cs="Arial"/>
          <w:i w:val="0"/>
          <w:sz w:val="20"/>
          <w:szCs w:val="20"/>
        </w:rPr>
        <w:t xml:space="preserve">All TA appointments </w:t>
      </w:r>
      <w:r w:rsidRPr="008B3B81">
        <w:rPr>
          <w:rFonts w:ascii="Arial" w:hAnsi="Arial" w:cs="Arial"/>
          <w:i w:val="0"/>
          <w:sz w:val="20"/>
          <w:szCs w:val="20"/>
          <w:u w:val="single"/>
        </w:rPr>
        <w:t>&gt;</w:t>
      </w:r>
      <w:r w:rsidRPr="008B3B81">
        <w:rPr>
          <w:rFonts w:ascii="Arial" w:hAnsi="Arial" w:cs="Arial"/>
          <w:i w:val="0"/>
          <w:sz w:val="20"/>
          <w:szCs w:val="20"/>
        </w:rPr>
        <w:t xml:space="preserve"> 25% includes </w:t>
      </w:r>
      <w:r w:rsidR="00313730" w:rsidRPr="008B3B81">
        <w:rPr>
          <w:rFonts w:ascii="Arial" w:hAnsi="Arial" w:cs="Arial"/>
          <w:i w:val="0"/>
          <w:sz w:val="20"/>
          <w:szCs w:val="20"/>
        </w:rPr>
        <w:t xml:space="preserve">in-state fee remission.  Non-resident Tuition (NRT) is </w:t>
      </w:r>
      <w:r w:rsidR="00313730" w:rsidRPr="008B3B81">
        <w:rPr>
          <w:rFonts w:ascii="Arial" w:hAnsi="Arial" w:cs="Arial"/>
          <w:i w:val="0"/>
          <w:sz w:val="20"/>
          <w:szCs w:val="20"/>
          <w:u w:val="single"/>
        </w:rPr>
        <w:t>not</w:t>
      </w:r>
      <w:r w:rsidR="00313730" w:rsidRPr="008B3B81">
        <w:rPr>
          <w:rFonts w:ascii="Arial" w:hAnsi="Arial" w:cs="Arial"/>
          <w:i w:val="0"/>
          <w:sz w:val="20"/>
          <w:szCs w:val="20"/>
        </w:rPr>
        <w:t xml:space="preserve"> included.</w:t>
      </w:r>
    </w:p>
    <w:p w:rsidR="00F5771C" w:rsidRPr="00F5771C" w:rsidRDefault="00017132" w:rsidP="00F5771C">
      <w:pPr>
        <w:pStyle w:val="Heading5"/>
        <w:spacing w:line="360" w:lineRule="auto"/>
        <w:ind w:left="360"/>
        <w:rPr>
          <w:rFonts w:ascii="Arial" w:hAnsi="Arial" w:cs="Arial"/>
          <w:sz w:val="18"/>
          <w:szCs w:val="18"/>
        </w:rPr>
      </w:pPr>
      <w:r w:rsidRPr="00017132">
        <w:rPr>
          <w:rFonts w:ascii="Arial" w:hAnsi="Arial" w:cs="Arial"/>
          <w:sz w:val="18"/>
          <w:szCs w:val="18"/>
        </w:rPr>
        <w:t>Note</w:t>
      </w:r>
      <w:r w:rsidR="005E59C5">
        <w:rPr>
          <w:rFonts w:ascii="Arial" w:hAnsi="Arial" w:cs="Arial"/>
          <w:sz w:val="18"/>
          <w:szCs w:val="18"/>
        </w:rPr>
        <w:t xml:space="preserve">: </w:t>
      </w:r>
      <w:r w:rsidR="008B2E91" w:rsidRPr="008B2E91">
        <w:rPr>
          <w:rFonts w:ascii="Arial" w:hAnsi="Arial" w:cs="Arial"/>
          <w:sz w:val="18"/>
          <w:szCs w:val="18"/>
        </w:rPr>
        <w:t>Approx. $200 not covered by fee remission is</w:t>
      </w:r>
      <w:r w:rsidR="00F5771C">
        <w:rPr>
          <w:rFonts w:ascii="Arial" w:hAnsi="Arial" w:cs="Arial"/>
          <w:sz w:val="18"/>
          <w:szCs w:val="18"/>
        </w:rPr>
        <w:t xml:space="preserve"> paid by Chairs Reserve GPFA</w:t>
      </w:r>
    </w:p>
    <w:p w:rsidR="004476F9" w:rsidRPr="004476F9" w:rsidRDefault="00032764" w:rsidP="004476F9">
      <w:pPr>
        <w:pStyle w:val="Heading2"/>
        <w:numPr>
          <w:ilvl w:val="0"/>
          <w:numId w:val="6"/>
        </w:numPr>
        <w:rPr>
          <w:rFonts w:ascii="Arial" w:hAnsi="Arial" w:cs="Arial"/>
          <w:sz w:val="22"/>
          <w:szCs w:val="20"/>
        </w:rPr>
      </w:pPr>
      <w:r w:rsidRPr="004476F9">
        <w:rPr>
          <w:rFonts w:ascii="Arial" w:hAnsi="Arial" w:cs="Arial"/>
          <w:sz w:val="22"/>
          <w:szCs w:val="20"/>
        </w:rPr>
        <w:t>Graduate Reader</w:t>
      </w:r>
      <w:r w:rsidR="00BC6492" w:rsidRPr="004476F9">
        <w:rPr>
          <w:rFonts w:ascii="Arial" w:hAnsi="Arial" w:cs="Arial"/>
          <w:sz w:val="22"/>
          <w:szCs w:val="20"/>
        </w:rPr>
        <w:t xml:space="preserve"> </w:t>
      </w:r>
    </w:p>
    <w:tbl>
      <w:tblPr>
        <w:tblStyle w:val="TableGrid"/>
        <w:tblW w:w="0" w:type="auto"/>
        <w:tblInd w:w="360" w:type="dxa"/>
        <w:tblLook w:val="04A0" w:firstRow="1" w:lastRow="0" w:firstColumn="1" w:lastColumn="0" w:noHBand="0" w:noVBand="1"/>
      </w:tblPr>
      <w:tblGrid>
        <w:gridCol w:w="805"/>
        <w:gridCol w:w="1530"/>
        <w:gridCol w:w="1890"/>
      </w:tblGrid>
      <w:tr w:rsidR="004476F9" w:rsidTr="004476F9">
        <w:tc>
          <w:tcPr>
            <w:tcW w:w="805" w:type="dxa"/>
          </w:tcPr>
          <w:p w:rsidR="004476F9" w:rsidRDefault="004476F9" w:rsidP="004476F9">
            <w:pPr>
              <w:pStyle w:val="Heading2"/>
              <w:rPr>
                <w:rFonts w:ascii="Arial" w:hAnsi="Arial" w:cs="Arial"/>
                <w:sz w:val="20"/>
                <w:szCs w:val="20"/>
              </w:rPr>
            </w:pPr>
            <w:r w:rsidRPr="008B3B81">
              <w:rPr>
                <w:rFonts w:ascii="Arial" w:hAnsi="Arial" w:cs="Arial"/>
                <w:sz w:val="20"/>
                <w:szCs w:val="20"/>
              </w:rPr>
              <w:t>25%</w:t>
            </w:r>
            <w:r>
              <w:rPr>
                <w:rFonts w:ascii="Arial" w:hAnsi="Arial" w:cs="Arial"/>
                <w:sz w:val="20"/>
                <w:szCs w:val="20"/>
              </w:rPr>
              <w:t xml:space="preserve"> </w:t>
            </w:r>
            <w:r w:rsidRPr="008B3B81">
              <w:rPr>
                <w:rFonts w:ascii="Arial" w:hAnsi="Arial" w:cs="Arial"/>
                <w:sz w:val="20"/>
                <w:szCs w:val="20"/>
              </w:rPr>
              <w:t xml:space="preserve"> </w:t>
            </w:r>
          </w:p>
        </w:tc>
        <w:tc>
          <w:tcPr>
            <w:tcW w:w="1530" w:type="dxa"/>
          </w:tcPr>
          <w:p w:rsidR="004476F9" w:rsidRDefault="004476F9" w:rsidP="004476F9">
            <w:pPr>
              <w:pStyle w:val="Heading2"/>
              <w:rPr>
                <w:rFonts w:ascii="Arial" w:hAnsi="Arial" w:cs="Arial"/>
                <w:sz w:val="20"/>
                <w:szCs w:val="20"/>
              </w:rPr>
            </w:pPr>
            <w:r w:rsidRPr="008B3B81">
              <w:rPr>
                <w:rFonts w:ascii="Arial" w:hAnsi="Arial" w:cs="Arial"/>
                <w:sz w:val="20"/>
                <w:szCs w:val="20"/>
              </w:rPr>
              <w:t>$</w:t>
            </w:r>
            <w:r w:rsidR="00DA02E9">
              <w:rPr>
                <w:rFonts w:ascii="Arial" w:hAnsi="Arial" w:cs="Arial"/>
                <w:sz w:val="20"/>
                <w:szCs w:val="20"/>
              </w:rPr>
              <w:t>670.00</w:t>
            </w:r>
            <w:r w:rsidRPr="009C1897">
              <w:rPr>
                <w:rFonts w:ascii="Arial" w:hAnsi="Arial" w:cs="Arial"/>
                <w:sz w:val="20"/>
                <w:szCs w:val="20"/>
              </w:rPr>
              <w:t>/</w:t>
            </w:r>
            <w:proofErr w:type="spellStart"/>
            <w:r w:rsidRPr="009C1897">
              <w:rPr>
                <w:rFonts w:ascii="Arial" w:hAnsi="Arial" w:cs="Arial"/>
                <w:sz w:val="20"/>
                <w:szCs w:val="20"/>
              </w:rPr>
              <w:t>mo</w:t>
            </w:r>
            <w:proofErr w:type="spellEnd"/>
          </w:p>
        </w:tc>
        <w:tc>
          <w:tcPr>
            <w:tcW w:w="1890" w:type="dxa"/>
          </w:tcPr>
          <w:p w:rsidR="004476F9" w:rsidRDefault="00DA02E9" w:rsidP="005B39C5">
            <w:pPr>
              <w:pStyle w:val="Heading2"/>
              <w:rPr>
                <w:rFonts w:ascii="Arial" w:hAnsi="Arial" w:cs="Arial"/>
                <w:sz w:val="20"/>
                <w:szCs w:val="20"/>
              </w:rPr>
            </w:pPr>
            <w:r>
              <w:rPr>
                <w:rFonts w:ascii="Arial" w:hAnsi="Arial" w:cs="Arial"/>
                <w:sz w:val="20"/>
                <w:szCs w:val="20"/>
              </w:rPr>
              <w:t>$2,010.00</w:t>
            </w:r>
            <w:r w:rsidR="004476F9" w:rsidRPr="009C1897">
              <w:rPr>
                <w:rFonts w:ascii="Arial" w:hAnsi="Arial" w:cs="Arial"/>
                <w:sz w:val="20"/>
                <w:szCs w:val="20"/>
              </w:rPr>
              <w:t>/quarter</w:t>
            </w:r>
          </w:p>
        </w:tc>
      </w:tr>
    </w:tbl>
    <w:p w:rsidR="00032764" w:rsidRPr="008B3B81" w:rsidRDefault="00CE54CD" w:rsidP="004476F9">
      <w:pPr>
        <w:pStyle w:val="Heading2"/>
        <w:ind w:left="360"/>
        <w:rPr>
          <w:rFonts w:ascii="Arial" w:hAnsi="Arial" w:cs="Arial"/>
          <w:b w:val="0"/>
          <w:sz w:val="20"/>
          <w:szCs w:val="20"/>
        </w:rPr>
      </w:pPr>
      <w:r w:rsidRPr="008B3B81">
        <w:rPr>
          <w:rFonts w:ascii="Arial" w:hAnsi="Arial" w:cs="Arial"/>
          <w:b w:val="0"/>
          <w:sz w:val="20"/>
          <w:szCs w:val="20"/>
        </w:rPr>
        <w:t>Paid at $</w:t>
      </w:r>
      <w:r w:rsidR="00DA02E9">
        <w:rPr>
          <w:rFonts w:ascii="Arial" w:hAnsi="Arial" w:cs="Arial"/>
          <w:b w:val="0"/>
          <w:sz w:val="20"/>
          <w:szCs w:val="20"/>
        </w:rPr>
        <w:t>16.75</w:t>
      </w:r>
      <w:r w:rsidR="00032764" w:rsidRPr="008B3B81">
        <w:rPr>
          <w:rFonts w:ascii="Arial" w:hAnsi="Arial" w:cs="Arial"/>
          <w:b w:val="0"/>
          <w:sz w:val="20"/>
          <w:szCs w:val="20"/>
        </w:rPr>
        <w:t>/</w:t>
      </w:r>
      <w:proofErr w:type="spellStart"/>
      <w:r w:rsidR="00032764" w:rsidRPr="008B3B81">
        <w:rPr>
          <w:rFonts w:ascii="Arial" w:hAnsi="Arial" w:cs="Arial"/>
          <w:b w:val="0"/>
          <w:sz w:val="20"/>
          <w:szCs w:val="20"/>
        </w:rPr>
        <w:t>hr</w:t>
      </w:r>
      <w:proofErr w:type="spellEnd"/>
      <w:r w:rsidR="00032764" w:rsidRPr="008B3B81">
        <w:rPr>
          <w:rFonts w:ascii="Arial" w:hAnsi="Arial" w:cs="Arial"/>
          <w:b w:val="0"/>
          <w:sz w:val="20"/>
          <w:szCs w:val="20"/>
        </w:rPr>
        <w:t xml:space="preserve"> but given an appointment of 25% which automatically includes </w:t>
      </w:r>
      <w:r w:rsidR="00654088" w:rsidRPr="008B3B81">
        <w:rPr>
          <w:rFonts w:ascii="Arial" w:hAnsi="Arial" w:cs="Arial"/>
          <w:b w:val="0"/>
          <w:i/>
          <w:sz w:val="20"/>
          <w:szCs w:val="20"/>
        </w:rPr>
        <w:t>partial</w:t>
      </w:r>
      <w:r w:rsidR="00313730" w:rsidRPr="008B3B81">
        <w:rPr>
          <w:rFonts w:ascii="Arial" w:hAnsi="Arial" w:cs="Arial"/>
          <w:b w:val="0"/>
          <w:i/>
          <w:sz w:val="20"/>
          <w:szCs w:val="20"/>
        </w:rPr>
        <w:t>*</w:t>
      </w:r>
      <w:r w:rsidR="00032764" w:rsidRPr="008B3B81">
        <w:rPr>
          <w:rFonts w:ascii="Arial" w:hAnsi="Arial" w:cs="Arial"/>
          <w:b w:val="0"/>
          <w:sz w:val="20"/>
          <w:szCs w:val="20"/>
        </w:rPr>
        <w:t xml:space="preserve"> in-state </w:t>
      </w:r>
      <w:r w:rsidR="008D5627" w:rsidRPr="008B3B81">
        <w:rPr>
          <w:rFonts w:ascii="Arial" w:hAnsi="Arial" w:cs="Arial"/>
          <w:b w:val="0"/>
          <w:sz w:val="20"/>
          <w:szCs w:val="20"/>
        </w:rPr>
        <w:t>fee remission</w:t>
      </w:r>
      <w:r w:rsidR="00654088" w:rsidRPr="008B3B81">
        <w:rPr>
          <w:rFonts w:ascii="Arial" w:hAnsi="Arial" w:cs="Arial"/>
          <w:b w:val="0"/>
          <w:sz w:val="20"/>
          <w:szCs w:val="20"/>
        </w:rPr>
        <w:t xml:space="preserve">.  </w:t>
      </w:r>
      <w:r w:rsidR="00313730" w:rsidRPr="008B3B81">
        <w:rPr>
          <w:rFonts w:ascii="Arial" w:hAnsi="Arial" w:cs="Arial"/>
          <w:b w:val="0"/>
          <w:sz w:val="20"/>
          <w:szCs w:val="20"/>
        </w:rPr>
        <w:t xml:space="preserve">Non-resident Tuition (NRT) is not included. </w:t>
      </w:r>
    </w:p>
    <w:p w:rsidR="003A39B8" w:rsidRDefault="0022102F" w:rsidP="00313730">
      <w:pPr>
        <w:ind w:left="360"/>
        <w:rPr>
          <w:rFonts w:ascii="Arial" w:hAnsi="Arial" w:cs="Arial"/>
          <w:i/>
          <w:sz w:val="20"/>
          <w:szCs w:val="20"/>
        </w:rPr>
      </w:pPr>
      <w:r w:rsidRPr="003A39B8">
        <w:rPr>
          <w:rFonts w:ascii="Arial" w:hAnsi="Arial" w:cs="Arial"/>
          <w:i/>
          <w:sz w:val="18"/>
          <w:szCs w:val="18"/>
        </w:rPr>
        <w:t>*</w:t>
      </w:r>
      <w:r w:rsidR="00313730" w:rsidRPr="003A39B8">
        <w:rPr>
          <w:rFonts w:ascii="Arial" w:hAnsi="Arial" w:cs="Arial"/>
          <w:i/>
          <w:sz w:val="18"/>
          <w:szCs w:val="18"/>
        </w:rPr>
        <w:t xml:space="preserve">Note: Readers will have to pay </w:t>
      </w:r>
      <w:r w:rsidR="00313730" w:rsidRPr="00A435E0">
        <w:rPr>
          <w:rFonts w:ascii="Arial" w:hAnsi="Arial" w:cs="Arial"/>
          <w:i/>
          <w:sz w:val="18"/>
          <w:szCs w:val="18"/>
        </w:rPr>
        <w:t xml:space="preserve">approximately </w:t>
      </w:r>
      <w:r w:rsidR="00313730" w:rsidRPr="008B2E91">
        <w:rPr>
          <w:rFonts w:ascii="Arial" w:hAnsi="Arial" w:cs="Arial"/>
          <w:i/>
          <w:sz w:val="18"/>
          <w:szCs w:val="18"/>
        </w:rPr>
        <w:t>$</w:t>
      </w:r>
      <w:r w:rsidR="008B2E91">
        <w:rPr>
          <w:rFonts w:ascii="Arial" w:hAnsi="Arial" w:cs="Arial"/>
          <w:i/>
          <w:sz w:val="18"/>
          <w:szCs w:val="18"/>
        </w:rPr>
        <w:t>200</w:t>
      </w:r>
      <w:r w:rsidR="00313730" w:rsidRPr="003A39B8">
        <w:rPr>
          <w:rFonts w:ascii="Arial" w:hAnsi="Arial" w:cs="Arial"/>
          <w:i/>
          <w:sz w:val="18"/>
          <w:szCs w:val="18"/>
        </w:rPr>
        <w:t xml:space="preserve">/quarter for campus and facilities fees not covered by </w:t>
      </w:r>
      <w:r w:rsidR="008B2E91">
        <w:rPr>
          <w:rFonts w:ascii="Arial" w:hAnsi="Arial" w:cs="Arial"/>
          <w:i/>
          <w:sz w:val="18"/>
          <w:szCs w:val="18"/>
        </w:rPr>
        <w:t>fee remission</w:t>
      </w:r>
      <w:bookmarkStart w:id="0" w:name="_GoBack"/>
      <w:bookmarkEnd w:id="0"/>
    </w:p>
    <w:p w:rsidR="00313730" w:rsidRPr="009203E1" w:rsidRDefault="00313730" w:rsidP="00051B4E">
      <w:pPr>
        <w:tabs>
          <w:tab w:val="left" w:pos="9495"/>
        </w:tabs>
        <w:ind w:left="360"/>
        <w:rPr>
          <w:rFonts w:ascii="Arial" w:hAnsi="Arial" w:cs="Arial"/>
          <w:sz w:val="22"/>
          <w:szCs w:val="22"/>
          <w:u w:val="single"/>
        </w:rPr>
      </w:pPr>
      <w:r w:rsidRPr="00454ACE">
        <w:rPr>
          <w:rFonts w:ascii="Arial" w:hAnsi="Arial" w:cs="Arial"/>
          <w:i/>
          <w:sz w:val="20"/>
          <w:szCs w:val="20"/>
        </w:rPr>
        <w:t xml:space="preserve">  </w:t>
      </w:r>
      <w:r w:rsidR="00051B4E">
        <w:rPr>
          <w:rFonts w:ascii="Arial" w:hAnsi="Arial" w:cs="Arial"/>
          <w:i/>
          <w:sz w:val="20"/>
          <w:szCs w:val="20"/>
        </w:rPr>
        <w:tab/>
      </w:r>
    </w:p>
    <w:p w:rsidR="00032764" w:rsidRPr="0084112E" w:rsidRDefault="00032764">
      <w:pPr>
        <w:pStyle w:val="BodyTextIndent3"/>
        <w:rPr>
          <w:rFonts w:ascii="Arial" w:hAnsi="Arial" w:cs="Arial"/>
          <w:b w:val="0"/>
          <w:sz w:val="18"/>
          <w:szCs w:val="18"/>
        </w:rPr>
      </w:pPr>
      <w:r w:rsidRPr="0084112E">
        <w:rPr>
          <w:rFonts w:ascii="Arial" w:hAnsi="Arial" w:cs="Arial"/>
          <w:b w:val="0"/>
          <w:sz w:val="18"/>
          <w:szCs w:val="18"/>
        </w:rPr>
        <w:t>Note:  Non-resident = Non-California Resident, includes both non-U.S. citizens and U.S. citizens who are not defined as residents of California.  Residency is typically established in 1 year for U.S. citizens but is not typically established for non-U.S. citizens, except for permanent residents and other special cases.</w:t>
      </w:r>
    </w:p>
    <w:sectPr w:rsidR="00032764" w:rsidRPr="0084112E" w:rsidSect="009203E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09" w:rsidRDefault="006C0E09">
      <w:r>
        <w:separator/>
      </w:r>
    </w:p>
  </w:endnote>
  <w:endnote w:type="continuationSeparator" w:id="0">
    <w:p w:rsidR="006C0E09" w:rsidRDefault="006C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09" w:rsidRPr="00F51E13" w:rsidRDefault="006C0E09" w:rsidP="005E59C5">
    <w:pPr>
      <w:pStyle w:val="Footer"/>
      <w:jc w:val="right"/>
      <w:rPr>
        <w:rFonts w:ascii="Arial" w:hAnsi="Arial" w:cs="Arial"/>
        <w:sz w:val="18"/>
        <w:szCs w:val="18"/>
      </w:rPr>
    </w:pPr>
    <w:r>
      <w:rPr>
        <w:rFonts w:ascii="Arial" w:hAnsi="Arial" w:cs="Arial"/>
        <w:sz w:val="18"/>
        <w:szCs w:val="18"/>
      </w:rPr>
      <w:t>R</w:t>
    </w:r>
    <w:r w:rsidR="003868CD">
      <w:rPr>
        <w:rFonts w:ascii="Arial" w:hAnsi="Arial" w:cs="Arial"/>
        <w:sz w:val="18"/>
        <w:szCs w:val="18"/>
      </w:rPr>
      <w:t xml:space="preserve">evised </w:t>
    </w:r>
    <w:r w:rsidR="00CF36CA">
      <w:rPr>
        <w:rFonts w:ascii="Arial" w:hAnsi="Arial" w:cs="Arial"/>
        <w:sz w:val="18"/>
        <w:szCs w:val="18"/>
      </w:rPr>
      <w:t>8/8/19</w:t>
    </w:r>
    <w:r>
      <w:rPr>
        <w:rFonts w:ascii="Arial" w:hAnsi="Arial" w:cs="Arial"/>
        <w:sz w:val="18"/>
        <w:szCs w:val="18"/>
      </w:rPr>
      <w:t xml:space="preserve">; </w:t>
    </w:r>
    <w:r w:rsidR="006B0459">
      <w:rPr>
        <w:rFonts w:ascii="Arial" w:hAnsi="Arial" w:cs="Arial"/>
        <w:sz w:val="18"/>
        <w:szCs w:val="18"/>
      </w:rPr>
      <w:t>based on</w:t>
    </w:r>
    <w:r w:rsidR="004476F9">
      <w:rPr>
        <w:rFonts w:ascii="Arial" w:hAnsi="Arial" w:cs="Arial"/>
        <w:sz w:val="18"/>
        <w:szCs w:val="18"/>
      </w:rPr>
      <w:t xml:space="preserve"> 201</w:t>
    </w:r>
    <w:r w:rsidR="00CF36CA">
      <w:rPr>
        <w:rFonts w:ascii="Arial" w:hAnsi="Arial" w:cs="Arial"/>
        <w:sz w:val="18"/>
        <w:szCs w:val="18"/>
      </w:rPr>
      <w:t>9-20</w:t>
    </w:r>
    <w:r w:rsidR="00B76F8A">
      <w:rPr>
        <w:rFonts w:ascii="Arial" w:hAnsi="Arial" w:cs="Arial"/>
        <w:sz w:val="18"/>
        <w:szCs w:val="18"/>
      </w:rPr>
      <w:t xml:space="preserve"> fees </w:t>
    </w:r>
    <w:r w:rsidR="006B0459">
      <w:rPr>
        <w:rFonts w:ascii="Arial" w:hAnsi="Arial" w:cs="Arial"/>
        <w:sz w:val="18"/>
        <w:szCs w:val="18"/>
      </w:rPr>
      <w:t xml:space="preserve">and GSR, </w:t>
    </w:r>
    <w:r w:rsidR="00B76F8A">
      <w:rPr>
        <w:rFonts w:ascii="Arial" w:hAnsi="Arial" w:cs="Arial"/>
        <w:sz w:val="18"/>
        <w:szCs w:val="18"/>
      </w:rPr>
      <w:t>and</w:t>
    </w:r>
    <w:r w:rsidR="00E63D5F">
      <w:rPr>
        <w:rFonts w:ascii="Arial" w:hAnsi="Arial" w:cs="Arial"/>
        <w:sz w:val="18"/>
        <w:szCs w:val="18"/>
      </w:rPr>
      <w:t xml:space="preserve"> </w:t>
    </w:r>
    <w:r w:rsidR="006B0459">
      <w:rPr>
        <w:rFonts w:ascii="Arial" w:hAnsi="Arial" w:cs="Arial"/>
        <w:sz w:val="18"/>
        <w:szCs w:val="18"/>
      </w:rPr>
      <w:t>TA/Reader</w:t>
    </w:r>
    <w:r w:rsidR="00B76F8A">
      <w:rPr>
        <w:rFonts w:ascii="Arial" w:hAnsi="Arial" w:cs="Arial"/>
        <w:sz w:val="18"/>
        <w:szCs w:val="18"/>
      </w:rPr>
      <w:t xml:space="preserve"> salary</w:t>
    </w:r>
  </w:p>
  <w:p w:rsidR="006C0E09" w:rsidRPr="00F51E13" w:rsidRDefault="006C0E0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09" w:rsidRDefault="006C0E09">
      <w:r>
        <w:separator/>
      </w:r>
    </w:p>
  </w:footnote>
  <w:footnote w:type="continuationSeparator" w:id="0">
    <w:p w:rsidR="006C0E09" w:rsidRDefault="006C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09" w:rsidRPr="009203E1" w:rsidRDefault="006C0E09" w:rsidP="00E31C4A">
    <w:pPr>
      <w:rPr>
        <w:rFonts w:ascii="Arial" w:hAnsi="Arial" w:cs="Arial"/>
        <w:b/>
      </w:rPr>
    </w:pPr>
    <w:r w:rsidRPr="009203E1">
      <w:rPr>
        <w:rFonts w:ascii="Arial" w:hAnsi="Arial" w:cs="Arial"/>
        <w:b/>
      </w:rPr>
      <w:t xml:space="preserve">Useful Information for Financial Offers to Graduate Students (academic year </w:t>
    </w:r>
    <w:r w:rsidR="00E31C4A">
      <w:rPr>
        <w:rFonts w:ascii="Arial" w:hAnsi="Arial" w:cs="Arial"/>
        <w:b/>
      </w:rPr>
      <w:t>2019-20</w:t>
    </w:r>
    <w:r w:rsidRPr="009203E1">
      <w:rPr>
        <w:rFonts w:ascii="Arial" w:hAnsi="Arial" w:cs="Arial"/>
        <w:b/>
      </w:rPr>
      <w:t>)</w:t>
    </w:r>
  </w:p>
  <w:p w:rsidR="006C0E09" w:rsidRPr="0084112E" w:rsidRDefault="006C0E09" w:rsidP="0084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0F2"/>
    <w:multiLevelType w:val="hybridMultilevel"/>
    <w:tmpl w:val="DA1E435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09337B"/>
    <w:multiLevelType w:val="hybridMultilevel"/>
    <w:tmpl w:val="4ED23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5B0689"/>
    <w:multiLevelType w:val="hybridMultilevel"/>
    <w:tmpl w:val="A962BAA4"/>
    <w:lvl w:ilvl="0" w:tplc="BA562D9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65488"/>
    <w:multiLevelType w:val="hybridMultilevel"/>
    <w:tmpl w:val="238ABE18"/>
    <w:lvl w:ilvl="0" w:tplc="87487E9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31C51"/>
    <w:multiLevelType w:val="hybridMultilevel"/>
    <w:tmpl w:val="2480B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06C87"/>
    <w:multiLevelType w:val="hybridMultilevel"/>
    <w:tmpl w:val="AA3A1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D0"/>
    <w:rsid w:val="00017132"/>
    <w:rsid w:val="00020242"/>
    <w:rsid w:val="00032764"/>
    <w:rsid w:val="00036820"/>
    <w:rsid w:val="00042D89"/>
    <w:rsid w:val="00050068"/>
    <w:rsid w:val="00051B4E"/>
    <w:rsid w:val="00083541"/>
    <w:rsid w:val="00091AC9"/>
    <w:rsid w:val="000A1961"/>
    <w:rsid w:val="000A21C5"/>
    <w:rsid w:val="000A5C55"/>
    <w:rsid w:val="000D3733"/>
    <w:rsid w:val="000F29C3"/>
    <w:rsid w:val="001101CA"/>
    <w:rsid w:val="0011185C"/>
    <w:rsid w:val="001308C4"/>
    <w:rsid w:val="0015240C"/>
    <w:rsid w:val="00190451"/>
    <w:rsid w:val="001920CF"/>
    <w:rsid w:val="00193BB9"/>
    <w:rsid w:val="001B1563"/>
    <w:rsid w:val="001B29BE"/>
    <w:rsid w:val="001C1B51"/>
    <w:rsid w:val="001D3FD6"/>
    <w:rsid w:val="001D530A"/>
    <w:rsid w:val="001D6AA5"/>
    <w:rsid w:val="001F377E"/>
    <w:rsid w:val="001F7F88"/>
    <w:rsid w:val="002004DE"/>
    <w:rsid w:val="0022102F"/>
    <w:rsid w:val="00264A5C"/>
    <w:rsid w:val="0029129B"/>
    <w:rsid w:val="002A7F90"/>
    <w:rsid w:val="002D26CB"/>
    <w:rsid w:val="002D2945"/>
    <w:rsid w:val="002D2AEE"/>
    <w:rsid w:val="002D4EC1"/>
    <w:rsid w:val="002D7961"/>
    <w:rsid w:val="00307BC1"/>
    <w:rsid w:val="00313730"/>
    <w:rsid w:val="00314989"/>
    <w:rsid w:val="003450D5"/>
    <w:rsid w:val="003613C9"/>
    <w:rsid w:val="003839D1"/>
    <w:rsid w:val="003868CD"/>
    <w:rsid w:val="00390F2D"/>
    <w:rsid w:val="00391DD7"/>
    <w:rsid w:val="00396AF3"/>
    <w:rsid w:val="003A39B8"/>
    <w:rsid w:val="003C52F3"/>
    <w:rsid w:val="00420C9D"/>
    <w:rsid w:val="004324A9"/>
    <w:rsid w:val="004476F9"/>
    <w:rsid w:val="00454ACE"/>
    <w:rsid w:val="004A0225"/>
    <w:rsid w:val="004B2BC0"/>
    <w:rsid w:val="004D5CC5"/>
    <w:rsid w:val="004D6B87"/>
    <w:rsid w:val="004E432B"/>
    <w:rsid w:val="004F3D38"/>
    <w:rsid w:val="00512998"/>
    <w:rsid w:val="00513103"/>
    <w:rsid w:val="00515121"/>
    <w:rsid w:val="00553EE3"/>
    <w:rsid w:val="00554737"/>
    <w:rsid w:val="005672A9"/>
    <w:rsid w:val="00581BD0"/>
    <w:rsid w:val="005874FE"/>
    <w:rsid w:val="00587E08"/>
    <w:rsid w:val="005909D0"/>
    <w:rsid w:val="00594D71"/>
    <w:rsid w:val="00596A72"/>
    <w:rsid w:val="005A0D3F"/>
    <w:rsid w:val="005B39C5"/>
    <w:rsid w:val="005B6368"/>
    <w:rsid w:val="005C3036"/>
    <w:rsid w:val="005C5B65"/>
    <w:rsid w:val="005D5FA1"/>
    <w:rsid w:val="005E4431"/>
    <w:rsid w:val="005E59C5"/>
    <w:rsid w:val="0060343D"/>
    <w:rsid w:val="006146A1"/>
    <w:rsid w:val="00645413"/>
    <w:rsid w:val="00646977"/>
    <w:rsid w:val="00654088"/>
    <w:rsid w:val="006576E2"/>
    <w:rsid w:val="00680D49"/>
    <w:rsid w:val="006826B7"/>
    <w:rsid w:val="00684ABD"/>
    <w:rsid w:val="006A7693"/>
    <w:rsid w:val="006A7861"/>
    <w:rsid w:val="006B0459"/>
    <w:rsid w:val="006C0E09"/>
    <w:rsid w:val="006E51F5"/>
    <w:rsid w:val="006F38A8"/>
    <w:rsid w:val="006F4CA8"/>
    <w:rsid w:val="00704BB3"/>
    <w:rsid w:val="00715B46"/>
    <w:rsid w:val="00743A83"/>
    <w:rsid w:val="007766C5"/>
    <w:rsid w:val="0078397E"/>
    <w:rsid w:val="007A1A24"/>
    <w:rsid w:val="007C1737"/>
    <w:rsid w:val="007C297E"/>
    <w:rsid w:val="007F61B4"/>
    <w:rsid w:val="00800C9A"/>
    <w:rsid w:val="00807DAC"/>
    <w:rsid w:val="0084112E"/>
    <w:rsid w:val="00841861"/>
    <w:rsid w:val="00846C48"/>
    <w:rsid w:val="00847806"/>
    <w:rsid w:val="00872121"/>
    <w:rsid w:val="00872320"/>
    <w:rsid w:val="0088485D"/>
    <w:rsid w:val="0088707A"/>
    <w:rsid w:val="008900A4"/>
    <w:rsid w:val="008A2EA0"/>
    <w:rsid w:val="008B2417"/>
    <w:rsid w:val="008B2E91"/>
    <w:rsid w:val="008B3B81"/>
    <w:rsid w:val="008D5627"/>
    <w:rsid w:val="008D7430"/>
    <w:rsid w:val="0090151C"/>
    <w:rsid w:val="00911DD5"/>
    <w:rsid w:val="0091298E"/>
    <w:rsid w:val="009203E1"/>
    <w:rsid w:val="00925FFB"/>
    <w:rsid w:val="00944B04"/>
    <w:rsid w:val="009517B8"/>
    <w:rsid w:val="009602DC"/>
    <w:rsid w:val="00966BF5"/>
    <w:rsid w:val="00983682"/>
    <w:rsid w:val="009A7B04"/>
    <w:rsid w:val="009B6FD1"/>
    <w:rsid w:val="009C1897"/>
    <w:rsid w:val="009D3728"/>
    <w:rsid w:val="00A10F4E"/>
    <w:rsid w:val="00A138BD"/>
    <w:rsid w:val="00A35A3C"/>
    <w:rsid w:val="00A36BA3"/>
    <w:rsid w:val="00A41B12"/>
    <w:rsid w:val="00A435E0"/>
    <w:rsid w:val="00A54888"/>
    <w:rsid w:val="00A57900"/>
    <w:rsid w:val="00A64C97"/>
    <w:rsid w:val="00A74704"/>
    <w:rsid w:val="00A7648A"/>
    <w:rsid w:val="00AA3CAF"/>
    <w:rsid w:val="00AA3F74"/>
    <w:rsid w:val="00AB01F3"/>
    <w:rsid w:val="00AE7B1E"/>
    <w:rsid w:val="00B31B6A"/>
    <w:rsid w:val="00B4492A"/>
    <w:rsid w:val="00B643BA"/>
    <w:rsid w:val="00B76F8A"/>
    <w:rsid w:val="00B967D2"/>
    <w:rsid w:val="00BA453F"/>
    <w:rsid w:val="00BC3952"/>
    <w:rsid w:val="00BC6492"/>
    <w:rsid w:val="00C148A6"/>
    <w:rsid w:val="00C17F91"/>
    <w:rsid w:val="00C252B8"/>
    <w:rsid w:val="00C51096"/>
    <w:rsid w:val="00C94857"/>
    <w:rsid w:val="00CA798D"/>
    <w:rsid w:val="00CB2932"/>
    <w:rsid w:val="00CC4DA3"/>
    <w:rsid w:val="00CE54CD"/>
    <w:rsid w:val="00CF36CA"/>
    <w:rsid w:val="00D13CBA"/>
    <w:rsid w:val="00D237B2"/>
    <w:rsid w:val="00D625E5"/>
    <w:rsid w:val="00D73714"/>
    <w:rsid w:val="00D946BF"/>
    <w:rsid w:val="00DA02E9"/>
    <w:rsid w:val="00DD14C7"/>
    <w:rsid w:val="00DF7D32"/>
    <w:rsid w:val="00E01C09"/>
    <w:rsid w:val="00E31C4A"/>
    <w:rsid w:val="00E36E5E"/>
    <w:rsid w:val="00E512D5"/>
    <w:rsid w:val="00E60701"/>
    <w:rsid w:val="00E63D5F"/>
    <w:rsid w:val="00E743EF"/>
    <w:rsid w:val="00E90B6C"/>
    <w:rsid w:val="00E956E0"/>
    <w:rsid w:val="00EC00AD"/>
    <w:rsid w:val="00EF0900"/>
    <w:rsid w:val="00EF5245"/>
    <w:rsid w:val="00F02600"/>
    <w:rsid w:val="00F04A86"/>
    <w:rsid w:val="00F07963"/>
    <w:rsid w:val="00F11A0F"/>
    <w:rsid w:val="00F14C45"/>
    <w:rsid w:val="00F259ED"/>
    <w:rsid w:val="00F42A05"/>
    <w:rsid w:val="00F51E13"/>
    <w:rsid w:val="00F5771C"/>
    <w:rsid w:val="00F62571"/>
    <w:rsid w:val="00F6541B"/>
    <w:rsid w:val="00F742C4"/>
    <w:rsid w:val="00F762CF"/>
    <w:rsid w:val="00FC1124"/>
    <w:rsid w:val="00FD40CA"/>
    <w:rsid w:val="00FD475A"/>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23C23"/>
  <w15:docId w15:val="{01054EC0-C774-4104-BB42-7E74523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63"/>
    <w:rPr>
      <w:sz w:val="24"/>
      <w:szCs w:val="24"/>
    </w:rPr>
  </w:style>
  <w:style w:type="paragraph" w:styleId="Heading1">
    <w:name w:val="heading 1"/>
    <w:basedOn w:val="Normal"/>
    <w:next w:val="Normal"/>
    <w:qFormat/>
    <w:rsid w:val="001B1563"/>
    <w:pPr>
      <w:keepNext/>
      <w:outlineLvl w:val="0"/>
    </w:pPr>
    <w:rPr>
      <w:b/>
      <w:bCs/>
      <w:i/>
      <w:iCs/>
    </w:rPr>
  </w:style>
  <w:style w:type="paragraph" w:styleId="Heading2">
    <w:name w:val="heading 2"/>
    <w:basedOn w:val="Normal"/>
    <w:next w:val="Normal"/>
    <w:qFormat/>
    <w:rsid w:val="001B1563"/>
    <w:pPr>
      <w:keepNext/>
      <w:outlineLvl w:val="1"/>
    </w:pPr>
    <w:rPr>
      <w:b/>
      <w:bCs/>
    </w:rPr>
  </w:style>
  <w:style w:type="paragraph" w:styleId="Heading3">
    <w:name w:val="heading 3"/>
    <w:basedOn w:val="Normal"/>
    <w:next w:val="Normal"/>
    <w:qFormat/>
    <w:rsid w:val="001B1563"/>
    <w:pPr>
      <w:keepNext/>
      <w:ind w:left="360"/>
      <w:outlineLvl w:val="2"/>
    </w:pPr>
    <w:rPr>
      <w:b/>
      <w:bCs/>
    </w:rPr>
  </w:style>
  <w:style w:type="paragraph" w:styleId="Heading4">
    <w:name w:val="heading 4"/>
    <w:basedOn w:val="Normal"/>
    <w:next w:val="Normal"/>
    <w:qFormat/>
    <w:rsid w:val="001B1563"/>
    <w:pPr>
      <w:keepNext/>
      <w:ind w:left="360"/>
      <w:outlineLvl w:val="3"/>
    </w:pPr>
    <w:rPr>
      <w:i/>
      <w:iCs/>
    </w:rPr>
  </w:style>
  <w:style w:type="paragraph" w:styleId="Heading5">
    <w:name w:val="heading 5"/>
    <w:basedOn w:val="Normal"/>
    <w:next w:val="Normal"/>
    <w:qFormat/>
    <w:rsid w:val="001B1563"/>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1563"/>
    <w:pPr>
      <w:ind w:left="1440" w:hanging="1440"/>
    </w:pPr>
    <w:rPr>
      <w:color w:val="0000FF"/>
    </w:rPr>
  </w:style>
  <w:style w:type="paragraph" w:styleId="BodyTextIndent2">
    <w:name w:val="Body Text Indent 2"/>
    <w:basedOn w:val="Normal"/>
    <w:rsid w:val="001B1563"/>
    <w:pPr>
      <w:ind w:left="1440" w:hanging="1440"/>
    </w:pPr>
    <w:rPr>
      <w:color w:val="0000FF"/>
      <w:sz w:val="18"/>
    </w:rPr>
  </w:style>
  <w:style w:type="paragraph" w:styleId="Header">
    <w:name w:val="header"/>
    <w:basedOn w:val="Normal"/>
    <w:rsid w:val="001B1563"/>
    <w:pPr>
      <w:tabs>
        <w:tab w:val="center" w:pos="4320"/>
        <w:tab w:val="right" w:pos="8640"/>
      </w:tabs>
    </w:pPr>
  </w:style>
  <w:style w:type="paragraph" w:styleId="Footer">
    <w:name w:val="footer"/>
    <w:basedOn w:val="Normal"/>
    <w:link w:val="FooterChar"/>
    <w:uiPriority w:val="99"/>
    <w:rsid w:val="001B1563"/>
    <w:pPr>
      <w:tabs>
        <w:tab w:val="center" w:pos="4320"/>
        <w:tab w:val="right" w:pos="8640"/>
      </w:tabs>
    </w:pPr>
  </w:style>
  <w:style w:type="paragraph" w:styleId="Caption">
    <w:name w:val="caption"/>
    <w:basedOn w:val="Normal"/>
    <w:next w:val="Normal"/>
    <w:qFormat/>
    <w:rsid w:val="001B1563"/>
    <w:rPr>
      <w:i/>
      <w:iCs/>
    </w:rPr>
  </w:style>
  <w:style w:type="paragraph" w:styleId="BodyTextIndent3">
    <w:name w:val="Body Text Indent 3"/>
    <w:basedOn w:val="Normal"/>
    <w:rsid w:val="001B1563"/>
    <w:pPr>
      <w:ind w:left="360"/>
    </w:pPr>
    <w:rPr>
      <w:b/>
      <w:bCs/>
      <w:sz w:val="20"/>
    </w:rPr>
  </w:style>
  <w:style w:type="paragraph" w:styleId="BalloonText">
    <w:name w:val="Balloon Text"/>
    <w:basedOn w:val="Normal"/>
    <w:semiHidden/>
    <w:rsid w:val="00A36BA3"/>
    <w:rPr>
      <w:rFonts w:ascii="Tahoma" w:hAnsi="Tahoma" w:cs="Tahoma"/>
      <w:sz w:val="16"/>
      <w:szCs w:val="16"/>
    </w:rPr>
  </w:style>
  <w:style w:type="character" w:customStyle="1" w:styleId="FooterChar">
    <w:name w:val="Footer Char"/>
    <w:basedOn w:val="DefaultParagraphFont"/>
    <w:link w:val="Footer"/>
    <w:uiPriority w:val="99"/>
    <w:rsid w:val="00F51E13"/>
    <w:rPr>
      <w:sz w:val="24"/>
      <w:szCs w:val="24"/>
    </w:rPr>
  </w:style>
  <w:style w:type="paragraph" w:styleId="ListParagraph">
    <w:name w:val="List Paragraph"/>
    <w:basedOn w:val="Normal"/>
    <w:uiPriority w:val="34"/>
    <w:qFormat/>
    <w:rsid w:val="008B3B81"/>
    <w:pPr>
      <w:ind w:left="720"/>
      <w:contextualSpacing/>
    </w:pPr>
  </w:style>
  <w:style w:type="table" w:styleId="TableGrid">
    <w:name w:val="Table Grid"/>
    <w:basedOn w:val="TableNormal"/>
    <w:rsid w:val="0044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Appointments and Salaries</vt:lpstr>
    </vt:vector>
  </TitlesOfParts>
  <Company>UCD CEE</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Salaries</dc:title>
  <dc:creator>Lauren K Worrell</dc:creator>
  <cp:lastModifiedBy>Lauren K Worrell</cp:lastModifiedBy>
  <cp:revision>3</cp:revision>
  <cp:lastPrinted>2019-08-08T22:28:00Z</cp:lastPrinted>
  <dcterms:created xsi:type="dcterms:W3CDTF">2019-08-08T22:29:00Z</dcterms:created>
  <dcterms:modified xsi:type="dcterms:W3CDTF">2019-08-15T17:08:00Z</dcterms:modified>
</cp:coreProperties>
</file>